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8FE7B" w14:textId="71ACE0E6" w:rsidR="00D36A5E" w:rsidRPr="00F95628" w:rsidRDefault="00D36A5E">
      <w:pPr>
        <w:tabs>
          <w:tab w:val="right" w:pos="10440"/>
          <w:tab w:val="right" w:pos="13323"/>
        </w:tabs>
        <w:spacing w:after="0"/>
        <w:rPr>
          <w:rFonts w:ascii="Arial" w:hAnsi="Arial" w:cs="Arial"/>
          <w:b/>
          <w:sz w:val="24"/>
          <w:szCs w:val="24"/>
          <w:lang w:val="en-US" w:eastAsia="zh-CN"/>
          <w:rPrChange w:id="0" w:author="Bing Li" w:date="2023-05-25T04:54:00Z">
            <w:rPr>
              <w:rFonts w:ascii="Arial" w:hAnsi="Arial" w:cs="Arial"/>
              <w:b/>
              <w:sz w:val="24"/>
              <w:szCs w:val="24"/>
              <w:lang w:val="sv-SE" w:eastAsia="zh-CN"/>
            </w:rPr>
          </w:rPrChange>
        </w:rPr>
      </w:pPr>
      <w:r>
        <w:rPr>
          <w:rFonts w:ascii="Arial" w:eastAsia="MS Mincho" w:hAnsi="Arial" w:cs="Arial"/>
          <w:b/>
          <w:sz w:val="24"/>
          <w:szCs w:val="24"/>
        </w:rPr>
        <w:t>3GPP TSG-RAN WG4 Meeting #</w:t>
      </w:r>
      <w:r>
        <w:rPr>
          <w:rFonts w:ascii="Arial" w:hAnsi="Arial" w:cs="Arial"/>
          <w:b/>
          <w:sz w:val="24"/>
          <w:szCs w:val="24"/>
          <w:lang w:eastAsia="zh-CN"/>
        </w:rPr>
        <w:t>10</w:t>
      </w:r>
      <w:r w:rsidR="00610B52">
        <w:rPr>
          <w:rFonts w:ascii="Arial" w:hAnsi="Arial" w:cs="Arial"/>
          <w:b/>
          <w:sz w:val="24"/>
          <w:szCs w:val="24"/>
          <w:lang w:eastAsia="zh-CN"/>
        </w:rPr>
        <w:t>8</w:t>
      </w:r>
      <w:r>
        <w:rPr>
          <w:rFonts w:ascii="Arial" w:eastAsia="MS Mincho" w:hAnsi="Arial" w:cs="Arial"/>
          <w:b/>
          <w:sz w:val="24"/>
          <w:szCs w:val="24"/>
        </w:rPr>
        <w:tab/>
        <w:t>R4-</w:t>
      </w:r>
      <w:r w:rsidR="006524A7" w:rsidRPr="006524A7">
        <w:rPr>
          <w:rFonts w:ascii="Arial" w:eastAsia="MS Mincho" w:hAnsi="Arial" w:cs="Arial"/>
          <w:b/>
          <w:sz w:val="24"/>
          <w:szCs w:val="24"/>
        </w:rPr>
        <w:t>23</w:t>
      </w:r>
      <w:r w:rsidR="00635F53">
        <w:rPr>
          <w:rFonts w:ascii="Arial" w:eastAsia="MS Mincho" w:hAnsi="Arial" w:cs="Arial"/>
          <w:b/>
          <w:sz w:val="24"/>
          <w:szCs w:val="24"/>
          <w:lang w:eastAsia="zh-CN"/>
        </w:rPr>
        <w:t>13735</w:t>
      </w:r>
    </w:p>
    <w:p w14:paraId="183A9A45" w14:textId="77777777" w:rsidR="00FA07F8" w:rsidRDefault="00FA07F8" w:rsidP="00FA07F8">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EU</w:t>
      </w:r>
      <w:r>
        <w:rPr>
          <w:b/>
          <w:noProof/>
          <w:sz w:val="24"/>
        </w:rPr>
        <w:fldChar w:fldCharType="end"/>
      </w:r>
      <w:r>
        <w:rPr>
          <w:b/>
          <w:noProof/>
          <w:sz w:val="24"/>
        </w:rPr>
        <w:t>, 21</w:t>
      </w:r>
      <w:r w:rsidRPr="000E5FB2">
        <w:rPr>
          <w:b/>
          <w:noProof/>
          <w:sz w:val="24"/>
          <w:vertAlign w:val="superscript"/>
        </w:rPr>
        <w:t>st</w:t>
      </w:r>
      <w:r>
        <w:rPr>
          <w:b/>
          <w:noProof/>
          <w:sz w:val="24"/>
        </w:rPr>
        <w:t xml:space="preserve"> to 25</w:t>
      </w:r>
      <w:r w:rsidRPr="00F231AF">
        <w:rPr>
          <w:b/>
          <w:noProof/>
          <w:sz w:val="24"/>
          <w:vertAlign w:val="superscript"/>
        </w:rPr>
        <w:t>th</w:t>
      </w:r>
      <w:r>
        <w:rPr>
          <w:b/>
          <w:noProof/>
          <w:sz w:val="24"/>
        </w:rPr>
        <w:t xml:space="preserve"> August</w:t>
      </w:r>
      <w:fldSimple w:instr=" DOCPROPERTY  Country  \* MERGEFORMAT ">
        <w:r w:rsidRPr="00F16427">
          <w:rPr>
            <w:b/>
            <w:noProof/>
            <w:sz w:val="24"/>
          </w:rPr>
          <w:t xml:space="preserve"> 202</w:t>
        </w:r>
        <w:r>
          <w:rPr>
            <w:b/>
            <w:noProof/>
            <w:sz w:val="24"/>
          </w:rPr>
          <w:t>3</w:t>
        </w:r>
      </w:fldSimple>
    </w:p>
    <w:p w14:paraId="50D13824" w14:textId="77777777" w:rsidR="00504324" w:rsidRPr="004F60ED" w:rsidRDefault="00504324" w:rsidP="00504324">
      <w:pPr>
        <w:pStyle w:val="BodyText"/>
        <w:rPr>
          <w:rFonts w:ascii="Arial" w:hAnsi="Arial"/>
          <w:b/>
          <w:lang w:val="en-GB" w:eastAsia="zh-CN"/>
        </w:rPr>
      </w:pPr>
    </w:p>
    <w:p w14:paraId="4DCF9443" w14:textId="77777777" w:rsidR="00610B52" w:rsidRDefault="00D36A5E">
      <w:pPr>
        <w:tabs>
          <w:tab w:val="left" w:pos="1985"/>
        </w:tabs>
        <w:jc w:val="both"/>
        <w:rPr>
          <w:rFonts w:ascii="Arial" w:hAnsi="Arial" w:cs="Arial"/>
          <w:sz w:val="22"/>
          <w:lang w:eastAsia="zh-CN"/>
        </w:rPr>
      </w:pPr>
      <w:r>
        <w:rPr>
          <w:rFonts w:ascii="Arial" w:hAnsi="Arial" w:cs="Arial"/>
          <w:b/>
          <w:sz w:val="22"/>
        </w:rPr>
        <w:t xml:space="preserve">Title: </w:t>
      </w:r>
      <w:r>
        <w:rPr>
          <w:rFonts w:ascii="Arial" w:hAnsi="Arial" w:cs="Arial"/>
          <w:b/>
          <w:sz w:val="22"/>
        </w:rPr>
        <w:tab/>
      </w:r>
      <w:r w:rsidR="00610B52" w:rsidRPr="00610B52">
        <w:rPr>
          <w:rFonts w:ascii="Arial" w:hAnsi="Arial" w:cs="Arial"/>
          <w:sz w:val="22"/>
          <w:lang w:eastAsia="zh-CN"/>
        </w:rPr>
        <w:t>Proposal for clean-up and improvements on BS specifications</w:t>
      </w:r>
    </w:p>
    <w:p w14:paraId="5B39892B" w14:textId="5F09E388" w:rsidR="00D36A5E" w:rsidRDefault="00D36A5E">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610B52">
        <w:rPr>
          <w:rFonts w:ascii="Arial" w:hAnsi="Arial" w:cs="Arial"/>
          <w:sz w:val="22"/>
          <w:lang w:eastAsia="zh-CN"/>
        </w:rPr>
        <w:t>4</w:t>
      </w:r>
      <w:r>
        <w:rPr>
          <w:rFonts w:ascii="Arial" w:hAnsi="Arial" w:cs="Arial"/>
          <w:sz w:val="22"/>
          <w:lang w:eastAsia="zh-CN"/>
        </w:rPr>
        <w:t>.2</w:t>
      </w:r>
    </w:p>
    <w:p w14:paraId="49501721" w14:textId="77777777" w:rsidR="00D36A5E" w:rsidRDefault="00D36A5E">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Ericsson</w:t>
      </w:r>
    </w:p>
    <w:p w14:paraId="20942508" w14:textId="5998BDA5" w:rsidR="00D36A5E" w:rsidRDefault="00D36A5E">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sidR="00610B52">
        <w:rPr>
          <w:rFonts w:ascii="Arial" w:hAnsi="Arial" w:cs="Arial"/>
          <w:sz w:val="22"/>
          <w:lang w:eastAsia="zh-CN"/>
        </w:rPr>
        <w:t>Discussion</w:t>
      </w:r>
    </w:p>
    <w:p w14:paraId="6E5D67CA" w14:textId="248EF9EF" w:rsidR="00D36A5E" w:rsidRDefault="00FA07F8" w:rsidP="0077240C">
      <w:pPr>
        <w:pStyle w:val="Heading1"/>
      </w:pPr>
      <w:r>
        <w:t>Introduction</w:t>
      </w:r>
    </w:p>
    <w:p w14:paraId="2C8D6EED" w14:textId="357004F0" w:rsidR="008A1868" w:rsidRDefault="008A1868" w:rsidP="008A1868">
      <w:r>
        <w:t>Manufacturers can use harmonised standards to prove that products or services comply with the technical requirements of the relevant law</w:t>
      </w:r>
      <w:r w:rsidR="003E1911">
        <w:t xml:space="preserve"> in European Union</w:t>
      </w:r>
      <w:r w:rsidR="00BA1264">
        <w:t xml:space="preserve">. </w:t>
      </w:r>
      <w:r>
        <w:t xml:space="preserve">Harmonised standards establish technical specifications which are considered suitable or sufficient </w:t>
      </w:r>
      <w:proofErr w:type="gramStart"/>
      <w:r>
        <w:t>in order to</w:t>
      </w:r>
      <w:proofErr w:type="gramEnd"/>
      <w:r>
        <w:t xml:space="preserve"> comply with the technical requirements given in EU legislation.</w:t>
      </w:r>
    </w:p>
    <w:p w14:paraId="77E708B5" w14:textId="1AE06484" w:rsidR="008435F7" w:rsidRDefault="008435F7" w:rsidP="00915CAE">
      <w:r>
        <w:t>European Harmonised Standard (HS) [1][2] is</w:t>
      </w:r>
      <w:r w:rsidR="00B776FC">
        <w:t xml:space="preserve"> developed </w:t>
      </w:r>
      <w:r w:rsidR="00B05EA8">
        <w:t>starting from the 3GPP Conformance testing</w:t>
      </w:r>
      <w:r w:rsidR="001F3A8E">
        <w:t xml:space="preserve"> specifications</w:t>
      </w:r>
      <w:r w:rsidR="00844A03">
        <w:t>, by reusing a limited number of requirement</w:t>
      </w:r>
      <w:r w:rsidR="00A02C3F">
        <w:t>s.</w:t>
      </w:r>
      <w:r w:rsidR="009B25A0">
        <w:t xml:space="preserve"> </w:t>
      </w:r>
      <w:r w:rsidR="003B50D7">
        <w:t>TFES is the</w:t>
      </w:r>
      <w:r w:rsidR="00272BCA" w:rsidRPr="00272BCA">
        <w:t xml:space="preserve"> task force responsible for developing </w:t>
      </w:r>
      <w:r w:rsidR="00112F8C">
        <w:t>HS</w:t>
      </w:r>
      <w:r w:rsidR="00272BCA" w:rsidRPr="00272BCA">
        <w:t xml:space="preserve"> under the RED Directive(2014/53/EU), for members of the IMT family</w:t>
      </w:r>
      <w:r w:rsidR="003B50D7">
        <w:t>.</w:t>
      </w:r>
    </w:p>
    <w:p w14:paraId="3E77B255" w14:textId="07BFE9DF" w:rsidR="00915CAE" w:rsidRDefault="00A855DB" w:rsidP="00915CAE">
      <w:r>
        <w:t>Du</w:t>
      </w:r>
      <w:r w:rsidR="009C7A2B">
        <w:t>ring the process of editing t</w:t>
      </w:r>
      <w:r w:rsidR="008435F7">
        <w:t xml:space="preserve">he HS </w:t>
      </w:r>
      <w:r w:rsidR="00373E94">
        <w:t>several</w:t>
      </w:r>
      <w:r w:rsidR="00811A61">
        <w:t xml:space="preserve"> issues were pointed out by the European Commission representatives,</w:t>
      </w:r>
      <w:r w:rsidR="00B66A7D">
        <w:t xml:space="preserve"> which we try to describe in this document</w:t>
      </w:r>
      <w:r w:rsidR="007E03E8">
        <w:t xml:space="preserve">. Such issues are currently hindering a good alignment between </w:t>
      </w:r>
      <w:r w:rsidR="001D01A8">
        <w:t xml:space="preserve">3GPP conformance testing specifications and HS and it would be advisable to be corrected directly in 3GPP. </w:t>
      </w:r>
      <w:r w:rsidR="008632D7">
        <w:t>Many of them are also in direct relation to ETSI</w:t>
      </w:r>
      <w:r w:rsidR="00273E2E">
        <w:t xml:space="preserve"> and 3GPP</w:t>
      </w:r>
      <w:r w:rsidR="008632D7">
        <w:t xml:space="preserve"> drafting rules, </w:t>
      </w:r>
      <w:r w:rsidR="004A0C65">
        <w:t xml:space="preserve">while some others are related to the relevance of the specifications for the </w:t>
      </w:r>
      <w:r w:rsidR="00BE7621">
        <w:t>regulations and compliance in different markets</w:t>
      </w:r>
      <w:r w:rsidR="006B63FF">
        <w:t xml:space="preserve">/countries. </w:t>
      </w:r>
    </w:p>
    <w:p w14:paraId="1C4185C3" w14:textId="3FE36CCB" w:rsidR="006B63FF" w:rsidRDefault="006B63FF" w:rsidP="00915CAE">
      <w:r>
        <w:t xml:space="preserve">The intention </w:t>
      </w:r>
      <w:r w:rsidR="00745314">
        <w:t xml:space="preserve">with this contribution </w:t>
      </w:r>
      <w:r>
        <w:t>is to start a</w:t>
      </w:r>
      <w:r w:rsidR="00745314">
        <w:t>n initiative</w:t>
      </w:r>
      <w:r>
        <w:t xml:space="preserve"> </w:t>
      </w:r>
      <w:r w:rsidR="00745314">
        <w:t xml:space="preserve">to </w:t>
      </w:r>
      <w:r>
        <w:t xml:space="preserve">clean-up the BS </w:t>
      </w:r>
      <w:r w:rsidR="000954DF">
        <w:t>Core/</w:t>
      </w:r>
      <w:r>
        <w:t>Conformance testing specifications, aligning them</w:t>
      </w:r>
      <w:r w:rsidR="00273E2E">
        <w:t xml:space="preserve"> well to the 3GPP drafting rules</w:t>
      </w:r>
      <w:r w:rsidR="00032213">
        <w:t>, but also removing unclarities/interpretations in the way the requirements</w:t>
      </w:r>
      <w:r w:rsidR="00745314">
        <w:t>/limits</w:t>
      </w:r>
      <w:r w:rsidR="00032213">
        <w:t xml:space="preserve"> are formulated</w:t>
      </w:r>
      <w:r w:rsidR="00745314">
        <w:t xml:space="preserve">. </w:t>
      </w:r>
    </w:p>
    <w:p w14:paraId="5FCC7163" w14:textId="2BDD4FBE" w:rsidR="00915CAE" w:rsidRDefault="00915CAE" w:rsidP="0077240C">
      <w:pPr>
        <w:pStyle w:val="Heading1"/>
      </w:pPr>
      <w:r w:rsidRPr="00915CAE">
        <w:t>Discussion</w:t>
      </w:r>
      <w:r w:rsidR="000954DF">
        <w:t xml:space="preserve"> based of </w:t>
      </w:r>
      <w:proofErr w:type="gramStart"/>
      <w:r w:rsidR="000954DF">
        <w:t>examples</w:t>
      </w:r>
      <w:proofErr w:type="gramEnd"/>
    </w:p>
    <w:p w14:paraId="2DCF5B4A" w14:textId="519F84EE" w:rsidR="00FA42B8" w:rsidRDefault="00F445B8" w:rsidP="0077240C">
      <w:pPr>
        <w:pStyle w:val="Heading2"/>
      </w:pPr>
      <w:r>
        <w:t>Manufacturer declarations</w:t>
      </w:r>
      <w:r w:rsidR="008A4F55">
        <w:t>.</w:t>
      </w:r>
      <w:r w:rsidR="00306C40">
        <w:t xml:space="preserve"> </w:t>
      </w:r>
    </w:p>
    <w:p w14:paraId="0E015E84" w14:textId="66477045" w:rsidR="0067198E" w:rsidRDefault="00306C40" w:rsidP="0067198E">
      <w:r>
        <w:t>From the legal perspective, and as indicated by the EC repre</w:t>
      </w:r>
      <w:r w:rsidR="00937137">
        <w:t>sentative</w:t>
      </w:r>
      <w:r>
        <w:t>, manufacturer declarations are not adequate since they give freedom to the</w:t>
      </w:r>
      <w:r w:rsidR="00937137">
        <w:t xml:space="preserve"> </w:t>
      </w:r>
      <w:r>
        <w:t xml:space="preserve">manufacturer to declare parameters that can modify the testing results. </w:t>
      </w:r>
      <w:r w:rsidR="0081723D">
        <w:t>In this sense all declarations that are made only for the purpose of testing</w:t>
      </w:r>
      <w:r w:rsidR="0043751B">
        <w:t xml:space="preserve"> are problematic. </w:t>
      </w:r>
      <w:r>
        <w:t xml:space="preserve">The concept “intended use of the equipment” is much more preferred. </w:t>
      </w:r>
      <w:r w:rsidR="00937137">
        <w:t>The suggested solution</w:t>
      </w:r>
      <w:r w:rsidR="0043751B">
        <w:t xml:space="preserve"> coming from the EC Desk Officer</w:t>
      </w:r>
      <w:r w:rsidR="00EE4F07">
        <w:t xml:space="preserve"> is to introduce in the </w:t>
      </w:r>
      <w:r w:rsidR="00B73A4D">
        <w:t>HS</w:t>
      </w:r>
      <w:r w:rsidR="00EE4F07">
        <w:t xml:space="preserve"> the statement “</w:t>
      </w:r>
      <w:r w:rsidR="0067198E" w:rsidRPr="0067198E">
        <w:t>All the parameters declared by the manufacturer shall correspond to the intended use of the equipment</w:t>
      </w:r>
      <w:r w:rsidR="00EE4F07">
        <w:t>”</w:t>
      </w:r>
      <w:r w:rsidR="0067198E" w:rsidRPr="0067198E">
        <w:t>.</w:t>
      </w:r>
      <w:r w:rsidR="00A81C97">
        <w:t xml:space="preserve"> </w:t>
      </w:r>
      <w:r w:rsidR="00B73A4D">
        <w:t xml:space="preserve">We also suggest </w:t>
      </w:r>
      <w:r w:rsidR="00373E94">
        <w:t>introducing</w:t>
      </w:r>
      <w:r w:rsidR="00B73A4D">
        <w:t xml:space="preserve"> this statement in the 3GPP conformance specifications</w:t>
      </w:r>
      <w:r w:rsidR="00BE2DA4">
        <w:t xml:space="preserve"> </w:t>
      </w:r>
      <w:proofErr w:type="gramStart"/>
      <w:r w:rsidR="00BE2DA4">
        <w:t>and also</w:t>
      </w:r>
      <w:proofErr w:type="gramEnd"/>
      <w:r w:rsidR="00BE2DA4">
        <w:t xml:space="preserve"> establish a clear framework for introduction of further manufacturer declarations in the specification.</w:t>
      </w:r>
      <w:r w:rsidR="009E3F2C">
        <w:t xml:space="preserve"> </w:t>
      </w:r>
      <w:r w:rsidR="00DC5C1D">
        <w:t xml:space="preserve">Eventually, </w:t>
      </w:r>
      <w:r w:rsidR="00D01C68">
        <w:t>clarify which of the</w:t>
      </w:r>
      <w:r w:rsidR="009E3F2C">
        <w:t xml:space="preserve"> manufacturer declarations </w:t>
      </w:r>
      <w:r w:rsidR="001C40DC">
        <w:t xml:space="preserve">are also included in </w:t>
      </w:r>
      <w:r w:rsidR="009E3F2C" w:rsidRPr="009E3F2C">
        <w:t>the technical documentation of the radio equipment</w:t>
      </w:r>
      <w:r w:rsidR="001C40DC">
        <w:t>, what is public information</w:t>
      </w:r>
      <w:r w:rsidR="00EF3ECD">
        <w:t xml:space="preserve"> vs.</w:t>
      </w:r>
      <w:r w:rsidR="008138B7">
        <w:t xml:space="preserve"> what is restricted information</w:t>
      </w:r>
      <w:r w:rsidR="00F541A6">
        <w:t>.</w:t>
      </w:r>
    </w:p>
    <w:p w14:paraId="0027AB13" w14:textId="747CF6E0" w:rsidR="00FA42B8" w:rsidRDefault="00FA42B8" w:rsidP="0077240C">
      <w:pPr>
        <w:pStyle w:val="Heading2"/>
      </w:pPr>
      <w:r>
        <w:t>Equivalent connectors or beams</w:t>
      </w:r>
    </w:p>
    <w:p w14:paraId="468015C1" w14:textId="10308E8E" w:rsidR="005B52D4" w:rsidRPr="00001839" w:rsidRDefault="00D835E2" w:rsidP="00D835E2">
      <w:r>
        <w:t xml:space="preserve">For Hybrid AAS BS, if </w:t>
      </w:r>
      <w:proofErr w:type="gramStart"/>
      <w:r>
        <w:t>a number of</w:t>
      </w:r>
      <w:proofErr w:type="gramEnd"/>
      <w:r>
        <w:t xml:space="preserve"> single-band TAB connectors, or multi-band TAB connectors have been declared equivalent (D.32 TS 37</w:t>
      </w:r>
      <w:r w:rsidR="00285577">
        <w:t>.</w:t>
      </w:r>
      <w:r>
        <w:t>145-1), only a representative one is necessary to be tested to demonstrate conformance. A manufacturer declared equivalence limits the test range to one representative port (TAB connector)</w:t>
      </w:r>
      <w:r w:rsidR="00285577">
        <w:t>, so t</w:t>
      </w:r>
      <w:r>
        <w:t>his choice allows the manufacturer to influence test results</w:t>
      </w:r>
      <w:r w:rsidR="00285577">
        <w:t>. I</w:t>
      </w:r>
      <w:r>
        <w:t>n addition</w:t>
      </w:r>
      <w:r w:rsidR="00285577">
        <w:t>,</w:t>
      </w:r>
      <w:r>
        <w:t xml:space="preserve"> a presumption of compliance cannot be founded on a single TAB connector measurement, as no proof of compliance </w:t>
      </w:r>
      <w:r w:rsidR="00285577">
        <w:t>i</w:t>
      </w:r>
      <w:r>
        <w:t xml:space="preserve">s created by </w:t>
      </w:r>
      <w:proofErr w:type="gramStart"/>
      <w:r>
        <w:t>a</w:t>
      </w:r>
      <w:proofErr w:type="gramEnd"/>
      <w:r>
        <w:t xml:space="preserve"> equivalence declaration.</w:t>
      </w:r>
      <w:r w:rsidR="00285577">
        <w:t xml:space="preserve"> Similar issue for the case when </w:t>
      </w:r>
      <w:r>
        <w:t>beams have been declared equivalent and parallel (see table 4.10-1, D9.12, D9.13 in TS 37</w:t>
      </w:r>
      <w:r w:rsidR="00285577">
        <w:t>.1</w:t>
      </w:r>
      <w:r>
        <w:t>45-2), only a representative beam is necessary to demonstrate conformance.</w:t>
      </w:r>
    </w:p>
    <w:p w14:paraId="53D05679" w14:textId="77777777" w:rsidR="00736E60" w:rsidRDefault="00AF765F" w:rsidP="0077240C">
      <w:pPr>
        <w:pStyle w:val="Heading2"/>
      </w:pPr>
      <w:r>
        <w:t>Reverberation chamber as an alternative method</w:t>
      </w:r>
      <w:r w:rsidR="00B95030">
        <w:t xml:space="preserve">. </w:t>
      </w:r>
    </w:p>
    <w:p w14:paraId="43F65ABC" w14:textId="41A75DBD" w:rsidR="00AF765F" w:rsidRDefault="00736E60" w:rsidP="00915CAE">
      <w:r>
        <w:t xml:space="preserve">The current formulation </w:t>
      </w:r>
      <w:r w:rsidR="00485753">
        <w:t>got the feedback that a choice is given without guidance.</w:t>
      </w:r>
      <w:r w:rsidR="00916A98">
        <w:t xml:space="preserve"> </w:t>
      </w:r>
      <w:r w:rsidR="00B95030">
        <w:t>From a regulatory perspective</w:t>
      </w:r>
      <w:r w:rsidR="000B312A">
        <w:t xml:space="preserve"> two methods are equivalent if they provide the same outcome, for example if the EUT has passed or not the test</w:t>
      </w:r>
      <w:r w:rsidR="00A67269">
        <w:t xml:space="preserve">. </w:t>
      </w:r>
      <w:r w:rsidR="008313C9">
        <w:t xml:space="preserve">It is important to get assurances that the various methods proposed (especially OTA methods) are equivalent in terms of accuracy and reproducibility and reflect the state of the art. This is to ensure that the different methods lead to comparable test results for establishing compliance. </w:t>
      </w:r>
      <w:r w:rsidR="00A67269">
        <w:t xml:space="preserve">For this </w:t>
      </w:r>
      <w:proofErr w:type="gramStart"/>
      <w:r w:rsidR="00A67269">
        <w:t>reason</w:t>
      </w:r>
      <w:proofErr w:type="gramEnd"/>
      <w:r w:rsidR="00A67269">
        <w:t xml:space="preserve"> we need to start a discussion on the equivalence of different methods </w:t>
      </w:r>
      <w:r w:rsidR="00E25F87">
        <w:t>mentioned in the specifications and clarify this for the reader. The TR 37.941</w:t>
      </w:r>
      <w:r w:rsidR="006A7090">
        <w:t xml:space="preserve"> contains most of the arguments, but further work is needed to </w:t>
      </w:r>
      <w:r w:rsidR="002D23D3">
        <w:t>solve this problem of equivalence among the methods.</w:t>
      </w:r>
      <w:r w:rsidR="000653C1">
        <w:t xml:space="preserve"> </w:t>
      </w:r>
    </w:p>
    <w:p w14:paraId="044C256F" w14:textId="2C0413A3" w:rsidR="00E142A3" w:rsidRDefault="00E142A3" w:rsidP="00915CAE">
      <w:r>
        <w:t>Normal and Extreme Conditions</w:t>
      </w:r>
    </w:p>
    <w:p w14:paraId="7FA3E060" w14:textId="180B0784" w:rsidR="00E142A3" w:rsidRDefault="00E142A3" w:rsidP="00E142A3">
      <w:r>
        <w:lastRenderedPageBreak/>
        <w:t>“N</w:t>
      </w:r>
      <w:proofErr w:type="spellStart"/>
      <w:r w:rsidRPr="00E142A3">
        <w:rPr>
          <w:lang w:val="en-SE"/>
        </w:rPr>
        <w:t>ormal</w:t>
      </w:r>
      <w:proofErr w:type="spellEnd"/>
      <w:r w:rsidRPr="00E142A3">
        <w:rPr>
          <w:lang w:val="en-SE"/>
        </w:rPr>
        <w:t xml:space="preserve"> conditions” is not defined term, and it is not clear what conditions it refers to. In the </w:t>
      </w:r>
      <w:r>
        <w:t>“</w:t>
      </w:r>
      <w:r w:rsidRPr="00E142A3">
        <w:rPr>
          <w:lang w:val="en-SE"/>
        </w:rPr>
        <w:t>normal test environment</w:t>
      </w:r>
      <w:r>
        <w:t>”</w:t>
      </w:r>
      <w:r w:rsidRPr="00E142A3">
        <w:rPr>
          <w:lang w:val="en-SE"/>
        </w:rPr>
        <w:t xml:space="preserve"> we specify conditions for test environment, </w:t>
      </w:r>
      <w:r w:rsidR="00DE475A">
        <w:t xml:space="preserve">which is a </w:t>
      </w:r>
      <w:proofErr w:type="gramStart"/>
      <w:r w:rsidR="00DE475A">
        <w:t>complete</w:t>
      </w:r>
      <w:proofErr w:type="gramEnd"/>
      <w:r w:rsidR="00DE475A">
        <w:t xml:space="preserve"> different information than “</w:t>
      </w:r>
      <w:r w:rsidRPr="00E142A3">
        <w:rPr>
          <w:lang w:val="en-SE"/>
        </w:rPr>
        <w:t>normal operation</w:t>
      </w:r>
      <w:r w:rsidR="00DE475A">
        <w:t>”</w:t>
      </w:r>
      <w:r w:rsidRPr="00E142A3">
        <w:rPr>
          <w:lang w:val="en-SE"/>
        </w:rPr>
        <w:t xml:space="preserve"> of the BS. The term “normal conditions” is also used in the core specs, without proper definition</w:t>
      </w:r>
      <w:r w:rsidR="00DE475A">
        <w:t xml:space="preserve">. </w:t>
      </w:r>
      <w:r w:rsidRPr="00E142A3">
        <w:rPr>
          <w:lang w:val="en-SE"/>
        </w:rPr>
        <w:t xml:space="preserve">Same </w:t>
      </w:r>
      <w:r w:rsidR="00DE475A">
        <w:t xml:space="preserve">holds </w:t>
      </w:r>
      <w:r w:rsidRPr="00E142A3">
        <w:rPr>
          <w:lang w:val="en-SE"/>
        </w:rPr>
        <w:t xml:space="preserve">for “extreme conditions”. </w:t>
      </w:r>
      <w:r w:rsidR="00DE71FD">
        <w:t>We should instead refer to</w:t>
      </w:r>
      <w:r w:rsidRPr="00E142A3">
        <w:rPr>
          <w:lang w:val="en-SE"/>
        </w:rPr>
        <w:t xml:space="preserve"> “normal test environment”</w:t>
      </w:r>
      <w:r w:rsidR="00DE71FD">
        <w:t xml:space="preserve"> and “extreme test environment”</w:t>
      </w:r>
      <w:r w:rsidRPr="00E142A3">
        <w:rPr>
          <w:lang w:val="en-SE"/>
        </w:rPr>
        <w:t xml:space="preserve">. </w:t>
      </w:r>
      <w:r w:rsidR="001E1451">
        <w:t>Definition of these test environments and the relation to the “intended use”</w:t>
      </w:r>
      <w:r w:rsidR="00AB78A2">
        <w:t xml:space="preserve"> (real operating conditions of the BS) needs to be clarified as well. </w:t>
      </w:r>
    </w:p>
    <w:p w14:paraId="1E3E26B9" w14:textId="210A3657" w:rsidR="00702896" w:rsidRDefault="00702896" w:rsidP="0077240C">
      <w:pPr>
        <w:pStyle w:val="Heading2"/>
      </w:pPr>
      <w:r>
        <w:t>RF configurations</w:t>
      </w:r>
    </w:p>
    <w:p w14:paraId="43955460" w14:textId="0056D33A" w:rsidR="00702896" w:rsidRDefault="00702896" w:rsidP="00E142A3">
      <w:r>
        <w:t>T</w:t>
      </w:r>
      <w:r w:rsidRPr="00702896">
        <w:t>he term RF configuration is not defined. I</w:t>
      </w:r>
      <w:r w:rsidR="00A15E9D">
        <w:t>n</w:t>
      </w:r>
      <w:r w:rsidRPr="00702896">
        <w:t xml:space="preserve"> MSR </w:t>
      </w:r>
      <w:r w:rsidR="00A15E9D">
        <w:t xml:space="preserve">BS </w:t>
      </w:r>
      <w:r w:rsidRPr="00702896">
        <w:t>spec</w:t>
      </w:r>
      <w:r w:rsidR="00A15E9D">
        <w:t>ifications</w:t>
      </w:r>
      <w:r w:rsidRPr="00702896">
        <w:t xml:space="preserve"> the clause on manufacturer declarations was named “Manufacturer declarations of supported RF configuration”</w:t>
      </w:r>
      <w:r w:rsidR="00A15E9D">
        <w:t>,</w:t>
      </w:r>
      <w:r w:rsidRPr="00702896">
        <w:t xml:space="preserve"> but we did not continue with </w:t>
      </w:r>
      <w:r w:rsidR="00A15E9D">
        <w:t>the same name of the clause</w:t>
      </w:r>
      <w:r w:rsidRPr="00702896">
        <w:t xml:space="preserve"> in NR and AAS specs. Instead</w:t>
      </w:r>
      <w:r w:rsidR="00A15E9D">
        <w:t>,</w:t>
      </w:r>
      <w:r w:rsidRPr="00702896">
        <w:t xml:space="preserve"> we mixed in the same table RF and RRM related declarations.</w:t>
      </w:r>
      <w:r w:rsidR="00D00147">
        <w:t xml:space="preserve"> This creates confusions when we reference the </w:t>
      </w:r>
      <w:r w:rsidR="003836FF">
        <w:t xml:space="preserve">RF </w:t>
      </w:r>
      <w:r w:rsidR="00D00147">
        <w:t xml:space="preserve">configurations in the context. </w:t>
      </w:r>
      <w:r w:rsidR="00933AE9">
        <w:t xml:space="preserve">We need to clarify the use of terms as: </w:t>
      </w:r>
      <w:r w:rsidR="0006481F">
        <w:t>“</w:t>
      </w:r>
      <w:r w:rsidR="00933AE9">
        <w:t>BS configuratio</w:t>
      </w:r>
      <w:r w:rsidR="0006481F">
        <w:t xml:space="preserve">n”, </w:t>
      </w:r>
      <w:r w:rsidR="00677FAA">
        <w:t>“</w:t>
      </w:r>
      <w:r w:rsidR="00677FAA" w:rsidRPr="00677FAA">
        <w:t>any transmitter setting</w:t>
      </w:r>
      <w:r w:rsidR="00677FAA">
        <w:t xml:space="preserve">”, </w:t>
      </w:r>
      <w:r w:rsidR="00237B38">
        <w:t xml:space="preserve">“all transmission modes”, </w:t>
      </w:r>
      <w:r w:rsidR="00CB0715">
        <w:t xml:space="preserve">“all the configurations supported </w:t>
      </w:r>
      <w:r w:rsidR="000B7822">
        <w:t xml:space="preserve">by the BS”, </w:t>
      </w:r>
      <w:r w:rsidR="00C42F55">
        <w:t xml:space="preserve">“configuration in normal operation”, </w:t>
      </w:r>
      <w:r w:rsidR="00237B38">
        <w:t>and similar.</w:t>
      </w:r>
    </w:p>
    <w:p w14:paraId="064D64DC" w14:textId="6F1D4601" w:rsidR="00D00147" w:rsidRDefault="009A2438" w:rsidP="0077240C">
      <w:pPr>
        <w:pStyle w:val="Heading2"/>
      </w:pPr>
      <w:r>
        <w:t>Connectors, RIBS or BS?</w:t>
      </w:r>
    </w:p>
    <w:p w14:paraId="59A8A6DC" w14:textId="547E8FA2" w:rsidR="009A2438" w:rsidRPr="001E1451" w:rsidRDefault="00210BDA" w:rsidP="00E142A3">
      <w:r>
        <w:t xml:space="preserve">A scan of the specifications reveals the use of “connectors”, “TAB connectors”, </w:t>
      </w:r>
      <w:r w:rsidR="00814A04">
        <w:t>“RIB” and “BS” when referring to the applicability of a requirement. See</w:t>
      </w:r>
      <w:r w:rsidR="0093491F">
        <w:t xml:space="preserve"> especially the notes in the OBUE tables in different specifications, where requirement </w:t>
      </w:r>
      <w:proofErr w:type="gramStart"/>
      <w:r w:rsidR="0093491F">
        <w:t>are</w:t>
      </w:r>
      <w:proofErr w:type="gramEnd"/>
      <w:r w:rsidR="0093491F">
        <w:t xml:space="preserve"> applicable </w:t>
      </w:r>
      <w:r w:rsidR="00F41D1A">
        <w:t xml:space="preserve">sometimes per BS, but in reality they apply per each connector (as for BS Type 1-C), or per </w:t>
      </w:r>
      <w:r w:rsidR="00C97735">
        <w:t xml:space="preserve">“TAB connector TX min cell group” or per RIB in the case of OTA OBUE. </w:t>
      </w:r>
      <w:r w:rsidR="00C15ECB">
        <w:t>We need to clarify how many connectors or RIBs fall under the requirement scope</w:t>
      </w:r>
      <w:r w:rsidR="00212091">
        <w:t>, if the BS has a configuration involving multiple cells/bands/antenna array</w:t>
      </w:r>
      <w:r w:rsidR="000B377D">
        <w:t xml:space="preserve">s. From a regulatory perspective this aspect is very </w:t>
      </w:r>
      <w:proofErr w:type="gramStart"/>
      <w:r w:rsidR="000B377D">
        <w:t>important</w:t>
      </w:r>
      <w:proofErr w:type="gramEnd"/>
      <w:r w:rsidR="000B377D">
        <w:t xml:space="preserve"> and the current formulation got negative feedback</w:t>
      </w:r>
      <w:r w:rsidR="009C0D95">
        <w:t xml:space="preserve"> from the EC representatives.</w:t>
      </w:r>
    </w:p>
    <w:p w14:paraId="052E8E8A" w14:textId="0D8C3AA9" w:rsidR="002D23D3" w:rsidRDefault="000E243F" w:rsidP="0077240C">
      <w:pPr>
        <w:pStyle w:val="Heading2"/>
      </w:pPr>
      <w:r>
        <w:t>Terms and Definitions</w:t>
      </w:r>
    </w:p>
    <w:p w14:paraId="1FB2A92C" w14:textId="16596007" w:rsidR="00142443" w:rsidRDefault="000E243F" w:rsidP="00915CAE">
      <w:r>
        <w:t>There is a significant inconsis</w:t>
      </w:r>
      <w:r w:rsidR="00142443">
        <w:t>tence between the definition of similar terms for AAS BS and NR BS</w:t>
      </w:r>
      <w:r w:rsidR="00252F8F">
        <w:t>, but even with the other BS specification</w:t>
      </w:r>
      <w:r w:rsidR="00142443">
        <w:t xml:space="preserve">. This needs </w:t>
      </w:r>
      <w:r w:rsidR="0015689C">
        <w:t xml:space="preserve">immediate </w:t>
      </w:r>
      <w:r w:rsidR="00142443">
        <w:t xml:space="preserve">review. </w:t>
      </w:r>
    </w:p>
    <w:p w14:paraId="6F239A31" w14:textId="1D99D85A" w:rsidR="0077240C" w:rsidRDefault="0077240C" w:rsidP="00B75DDE">
      <w:pPr>
        <w:pStyle w:val="Heading2"/>
      </w:pPr>
      <w:r>
        <w:t>Usage of confusing words/expressions</w:t>
      </w:r>
    </w:p>
    <w:p w14:paraId="166E6EA7" w14:textId="3E9183B8" w:rsidR="009C6611" w:rsidRDefault="009C6611" w:rsidP="00915CAE">
      <w:r>
        <w:t xml:space="preserve">In the next table </w:t>
      </w:r>
      <w:r w:rsidR="00B75DDE">
        <w:t xml:space="preserve">we present </w:t>
      </w:r>
      <w:r>
        <w:t xml:space="preserve">the </w:t>
      </w:r>
      <w:r w:rsidR="00392BC4">
        <w:t>issues</w:t>
      </w:r>
      <w:r>
        <w:t xml:space="preserve"> when using different words, most of them appearing in the specifications</w:t>
      </w:r>
      <w:r w:rsidR="00392BC4">
        <w:t xml:space="preserve"> today</w:t>
      </w:r>
      <w:r w:rsidR="00A40A73">
        <w:t xml:space="preserve">. In the second column </w:t>
      </w:r>
      <w:r w:rsidR="00392BC4">
        <w:t>possible</w:t>
      </w:r>
      <w:r w:rsidR="00A40A73">
        <w:t xml:space="preserve"> mitigation</w:t>
      </w:r>
      <w:r w:rsidR="00392BC4">
        <w:t xml:space="preserve"> is suggested.</w:t>
      </w:r>
    </w:p>
    <w:p w14:paraId="7F1EDDD5" w14:textId="77777777" w:rsidR="00A40A73" w:rsidRDefault="00A40A73" w:rsidP="00915CAE"/>
    <w:tbl>
      <w:tblPr>
        <w:tblW w:w="5000" w:type="pct"/>
        <w:tblInd w:w="118" w:type="dxa"/>
        <w:tblCellMar>
          <w:left w:w="0" w:type="dxa"/>
          <w:right w:w="0" w:type="dxa"/>
        </w:tblCellMar>
        <w:tblLook w:val="04A0" w:firstRow="1" w:lastRow="0" w:firstColumn="1" w:lastColumn="0" w:noHBand="0" w:noVBand="1"/>
      </w:tblPr>
      <w:tblGrid>
        <w:gridCol w:w="4406"/>
        <w:gridCol w:w="6277"/>
      </w:tblGrid>
      <w:tr w:rsidR="00BE428A" w14:paraId="31B38539" w14:textId="77777777" w:rsidTr="006F0760">
        <w:trPr>
          <w:trHeight w:val="87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EA6A3" w14:textId="77777777" w:rsidR="00BE428A" w:rsidRDefault="00BE428A" w:rsidP="006F0760">
            <w:pPr>
              <w:rPr>
                <w:color w:val="000000"/>
              </w:rPr>
            </w:pPr>
            <w:r>
              <w:rPr>
                <w:color w:val="000000"/>
              </w:rPr>
              <w:t xml:space="preserve">corresponding </w:t>
            </w:r>
          </w:p>
        </w:tc>
        <w:tc>
          <w:tcPr>
            <w:tcW w:w="2938" w:type="pct"/>
            <w:tcBorders>
              <w:top w:val="nil"/>
              <w:left w:val="nil"/>
              <w:bottom w:val="single" w:sz="8" w:space="0" w:color="auto"/>
              <w:right w:val="single" w:sz="8" w:space="0" w:color="auto"/>
            </w:tcBorders>
            <w:tcMar>
              <w:top w:w="0" w:type="dxa"/>
              <w:left w:w="108" w:type="dxa"/>
              <w:bottom w:w="0" w:type="dxa"/>
              <w:right w:w="108" w:type="dxa"/>
            </w:tcMar>
            <w:hideMark/>
          </w:tcPr>
          <w:p w14:paraId="01FBBDF8" w14:textId="77777777" w:rsidR="00BE428A" w:rsidRDefault="00BE428A" w:rsidP="006F0760">
            <w:pPr>
              <w:rPr>
                <w:color w:val="000000"/>
              </w:rPr>
            </w:pPr>
            <w:r>
              <w:rPr>
                <w:color w:val="000000"/>
              </w:rPr>
              <w:t xml:space="preserve">The word </w:t>
            </w:r>
            <w:r>
              <w:rPr>
                <w:b/>
                <w:bCs/>
                <w:color w:val="000000"/>
              </w:rPr>
              <w:t>corresponding</w:t>
            </w:r>
            <w:r>
              <w:rPr>
                <w:color w:val="000000"/>
              </w:rPr>
              <w:t xml:space="preserve"> might lead to interpretation as an arbitrary choice to be carried out by the manufacturer. Check that correspondence is well described, pointing to a precise clause or another reference. Eventually, change to “indicated” in some places.</w:t>
            </w:r>
          </w:p>
        </w:tc>
      </w:tr>
      <w:tr w:rsidR="000D7C61" w14:paraId="087DE006" w14:textId="77777777" w:rsidTr="006F0760">
        <w:trPr>
          <w:trHeight w:val="87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7E60BF" w14:textId="3BC26D10" w:rsidR="000D7C61" w:rsidRDefault="000D7C61" w:rsidP="006F0760">
            <w:pPr>
              <w:rPr>
                <w:color w:val="000000"/>
              </w:rPr>
            </w:pPr>
            <w:r>
              <w:rPr>
                <w:color w:val="000000"/>
              </w:rPr>
              <w:t>Unless otherwise stated</w:t>
            </w:r>
          </w:p>
        </w:tc>
        <w:tc>
          <w:tcPr>
            <w:tcW w:w="2938" w:type="pct"/>
            <w:tcBorders>
              <w:top w:val="nil"/>
              <w:left w:val="nil"/>
              <w:bottom w:val="single" w:sz="8" w:space="0" w:color="auto"/>
              <w:right w:val="single" w:sz="8" w:space="0" w:color="auto"/>
            </w:tcBorders>
            <w:tcMar>
              <w:top w:w="0" w:type="dxa"/>
              <w:left w:w="108" w:type="dxa"/>
              <w:bottom w:w="0" w:type="dxa"/>
              <w:right w:w="108" w:type="dxa"/>
            </w:tcMar>
          </w:tcPr>
          <w:p w14:paraId="0352546F" w14:textId="455964D4" w:rsidR="000D7C61" w:rsidRDefault="00E547F7" w:rsidP="006F0760">
            <w:pPr>
              <w:rPr>
                <w:color w:val="000000"/>
              </w:rPr>
            </w:pPr>
            <w:r>
              <w:rPr>
                <w:color w:val="000000"/>
              </w:rPr>
              <w:t xml:space="preserve">Introduces confusion about where is the place where the exception exists. </w:t>
            </w:r>
            <w:r w:rsidR="00AA4AD6">
              <w:rPr>
                <w:color w:val="000000"/>
              </w:rPr>
              <w:t>Better to indicate the reference to the exceptions</w:t>
            </w:r>
            <w:r w:rsidR="000E243F">
              <w:rPr>
                <w:color w:val="000000"/>
              </w:rPr>
              <w:t>.</w:t>
            </w:r>
          </w:p>
        </w:tc>
      </w:tr>
      <w:tr w:rsidR="00BE428A" w14:paraId="1A3BC11A" w14:textId="77777777" w:rsidTr="006F0760">
        <w:trPr>
          <w:trHeight w:val="87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AA30A" w14:textId="77777777" w:rsidR="00BE428A" w:rsidRDefault="00BE428A" w:rsidP="006F0760">
            <w:pPr>
              <w:rPr>
                <w:color w:val="000000"/>
              </w:rPr>
            </w:pPr>
            <w:r>
              <w:rPr>
                <w:color w:val="000000"/>
              </w:rPr>
              <w:t>requirement</w:t>
            </w:r>
          </w:p>
        </w:tc>
        <w:tc>
          <w:tcPr>
            <w:tcW w:w="2938" w:type="pct"/>
            <w:tcBorders>
              <w:top w:val="nil"/>
              <w:left w:val="nil"/>
              <w:bottom w:val="single" w:sz="8" w:space="0" w:color="auto"/>
              <w:right w:val="single" w:sz="8" w:space="0" w:color="auto"/>
            </w:tcBorders>
            <w:tcMar>
              <w:top w:w="0" w:type="dxa"/>
              <w:left w:w="108" w:type="dxa"/>
              <w:bottom w:w="0" w:type="dxa"/>
              <w:right w:w="108" w:type="dxa"/>
            </w:tcMar>
            <w:hideMark/>
          </w:tcPr>
          <w:p w14:paraId="661DA47A" w14:textId="6040993C" w:rsidR="00BE428A" w:rsidRDefault="00BE428A" w:rsidP="006F0760">
            <w:pPr>
              <w:rPr>
                <w:color w:val="000000"/>
              </w:rPr>
            </w:pPr>
            <w:r>
              <w:rPr>
                <w:color w:val="000000"/>
              </w:rPr>
              <w:t>Requirement is to stay above/below a “limit” under specific “conditions”. "Limits shall apply" or "requirement shall apply" is the correct form</w:t>
            </w:r>
          </w:p>
        </w:tc>
      </w:tr>
      <w:tr w:rsidR="00BE428A" w14:paraId="70F89001"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BC1B0" w14:textId="77777777" w:rsidR="00BE428A" w:rsidRDefault="00BE428A" w:rsidP="006F0760">
            <w:pPr>
              <w:rPr>
                <w:color w:val="000000"/>
              </w:rPr>
            </w:pPr>
            <w:r>
              <w:rPr>
                <w:color w:val="000000"/>
              </w:rPr>
              <w:t>appropriate</w:t>
            </w:r>
          </w:p>
        </w:tc>
        <w:tc>
          <w:tcPr>
            <w:tcW w:w="293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DF23C1B" w14:textId="77777777" w:rsidR="00BE428A" w:rsidRDefault="00BE428A" w:rsidP="006F0760">
            <w:pPr>
              <w:rPr>
                <w:color w:val="000000"/>
              </w:rPr>
            </w:pPr>
            <w:r>
              <w:rPr>
                <w:color w:val="000000"/>
              </w:rPr>
              <w:t>Avoid the use of adjectives such as "appropriate", "suitable", "apposite", "proper", "applicable", “relevant” or other synonymous and “sufficient” in the definitions of requirements or elements/components without to referring to a known or well-defined choice.</w:t>
            </w:r>
            <w:r>
              <w:rPr>
                <w:color w:val="000000"/>
              </w:rPr>
              <w:br/>
              <w:t>When these adjectives don't offer a precise and testable requirement, they give the manufacturers the choice to control or manipulate the result or procedure based on the different "appropriate" elements used.</w:t>
            </w:r>
          </w:p>
        </w:tc>
      </w:tr>
      <w:tr w:rsidR="00BE428A" w14:paraId="600886D2"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9648D" w14:textId="77777777" w:rsidR="00BE428A" w:rsidRDefault="00BE428A" w:rsidP="006F0760">
            <w:pPr>
              <w:rPr>
                <w:color w:val="000000"/>
              </w:rPr>
            </w:pPr>
            <w:r>
              <w:rPr>
                <w:color w:val="000000"/>
              </w:rPr>
              <w:t>suitable</w:t>
            </w:r>
          </w:p>
        </w:tc>
        <w:tc>
          <w:tcPr>
            <w:tcW w:w="2938" w:type="pct"/>
            <w:vMerge/>
            <w:tcBorders>
              <w:top w:val="nil"/>
              <w:left w:val="nil"/>
              <w:bottom w:val="single" w:sz="8" w:space="0" w:color="auto"/>
              <w:right w:val="single" w:sz="8" w:space="0" w:color="auto"/>
            </w:tcBorders>
            <w:vAlign w:val="center"/>
            <w:hideMark/>
          </w:tcPr>
          <w:p w14:paraId="05531991" w14:textId="77777777" w:rsidR="00BE428A" w:rsidRDefault="00BE428A" w:rsidP="006F0760">
            <w:pPr>
              <w:spacing w:after="0"/>
              <w:rPr>
                <w:rFonts w:ascii="Calibri" w:hAnsi="Calibri" w:cs="Calibri"/>
                <w:color w:val="000000"/>
              </w:rPr>
            </w:pPr>
          </w:p>
        </w:tc>
      </w:tr>
      <w:tr w:rsidR="00BE428A" w14:paraId="6B8E9D4C"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91A81" w14:textId="77777777" w:rsidR="00BE428A" w:rsidRDefault="00BE428A" w:rsidP="006F0760">
            <w:pPr>
              <w:rPr>
                <w:color w:val="000000"/>
              </w:rPr>
            </w:pPr>
            <w:r>
              <w:rPr>
                <w:color w:val="000000"/>
              </w:rPr>
              <w:t>apposite</w:t>
            </w:r>
          </w:p>
        </w:tc>
        <w:tc>
          <w:tcPr>
            <w:tcW w:w="2938" w:type="pct"/>
            <w:vMerge/>
            <w:tcBorders>
              <w:top w:val="nil"/>
              <w:left w:val="nil"/>
              <w:bottom w:val="single" w:sz="8" w:space="0" w:color="auto"/>
              <w:right w:val="single" w:sz="8" w:space="0" w:color="auto"/>
            </w:tcBorders>
            <w:vAlign w:val="center"/>
            <w:hideMark/>
          </w:tcPr>
          <w:p w14:paraId="3DEA9623" w14:textId="77777777" w:rsidR="00BE428A" w:rsidRDefault="00BE428A" w:rsidP="006F0760">
            <w:pPr>
              <w:spacing w:after="0"/>
              <w:rPr>
                <w:rFonts w:ascii="Calibri" w:hAnsi="Calibri" w:cs="Calibri"/>
                <w:color w:val="000000"/>
              </w:rPr>
            </w:pPr>
          </w:p>
        </w:tc>
      </w:tr>
      <w:tr w:rsidR="00BE428A" w14:paraId="3D734EA0"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54B9E" w14:textId="77777777" w:rsidR="00BE428A" w:rsidRDefault="00BE428A" w:rsidP="006F0760">
            <w:pPr>
              <w:rPr>
                <w:color w:val="000000"/>
              </w:rPr>
            </w:pPr>
            <w:r>
              <w:rPr>
                <w:color w:val="000000"/>
              </w:rPr>
              <w:t>proper</w:t>
            </w:r>
          </w:p>
        </w:tc>
        <w:tc>
          <w:tcPr>
            <w:tcW w:w="2938" w:type="pct"/>
            <w:vMerge/>
            <w:tcBorders>
              <w:top w:val="nil"/>
              <w:left w:val="nil"/>
              <w:bottom w:val="single" w:sz="8" w:space="0" w:color="auto"/>
              <w:right w:val="single" w:sz="8" w:space="0" w:color="auto"/>
            </w:tcBorders>
            <w:vAlign w:val="center"/>
            <w:hideMark/>
          </w:tcPr>
          <w:p w14:paraId="6CA2D286" w14:textId="77777777" w:rsidR="00BE428A" w:rsidRDefault="00BE428A" w:rsidP="006F0760">
            <w:pPr>
              <w:spacing w:after="0"/>
              <w:rPr>
                <w:rFonts w:ascii="Calibri" w:hAnsi="Calibri" w:cs="Calibri"/>
                <w:color w:val="000000"/>
              </w:rPr>
            </w:pPr>
          </w:p>
        </w:tc>
      </w:tr>
      <w:tr w:rsidR="00BE428A" w14:paraId="08B17DCD"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C11FE" w14:textId="77777777" w:rsidR="00BE428A" w:rsidRDefault="00BE428A" w:rsidP="006F0760">
            <w:pPr>
              <w:rPr>
                <w:color w:val="000000"/>
              </w:rPr>
            </w:pPr>
            <w:r>
              <w:rPr>
                <w:color w:val="000000"/>
              </w:rPr>
              <w:t>applicable</w:t>
            </w:r>
          </w:p>
        </w:tc>
        <w:tc>
          <w:tcPr>
            <w:tcW w:w="2938" w:type="pct"/>
            <w:vMerge/>
            <w:tcBorders>
              <w:top w:val="nil"/>
              <w:left w:val="nil"/>
              <w:bottom w:val="single" w:sz="8" w:space="0" w:color="auto"/>
              <w:right w:val="single" w:sz="8" w:space="0" w:color="auto"/>
            </w:tcBorders>
            <w:vAlign w:val="center"/>
            <w:hideMark/>
          </w:tcPr>
          <w:p w14:paraId="7D6AE3C8" w14:textId="77777777" w:rsidR="00BE428A" w:rsidRDefault="00BE428A" w:rsidP="006F0760">
            <w:pPr>
              <w:spacing w:after="0"/>
              <w:rPr>
                <w:rFonts w:ascii="Calibri" w:hAnsi="Calibri" w:cs="Calibri"/>
                <w:color w:val="000000"/>
              </w:rPr>
            </w:pPr>
          </w:p>
        </w:tc>
      </w:tr>
      <w:tr w:rsidR="00BE428A" w14:paraId="7714FA80"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3C49E" w14:textId="77777777" w:rsidR="00BE428A" w:rsidRDefault="00BE428A" w:rsidP="006F0760">
            <w:pPr>
              <w:rPr>
                <w:color w:val="000000"/>
              </w:rPr>
            </w:pPr>
            <w:r>
              <w:rPr>
                <w:color w:val="000000"/>
              </w:rPr>
              <w:t>relevant</w:t>
            </w:r>
          </w:p>
        </w:tc>
        <w:tc>
          <w:tcPr>
            <w:tcW w:w="2938" w:type="pct"/>
            <w:vMerge/>
            <w:tcBorders>
              <w:top w:val="nil"/>
              <w:left w:val="nil"/>
              <w:bottom w:val="single" w:sz="8" w:space="0" w:color="auto"/>
              <w:right w:val="single" w:sz="8" w:space="0" w:color="auto"/>
            </w:tcBorders>
            <w:vAlign w:val="center"/>
            <w:hideMark/>
          </w:tcPr>
          <w:p w14:paraId="090A9C25" w14:textId="77777777" w:rsidR="00BE428A" w:rsidRDefault="00BE428A" w:rsidP="006F0760">
            <w:pPr>
              <w:spacing w:after="0"/>
              <w:rPr>
                <w:rFonts w:ascii="Calibri" w:hAnsi="Calibri" w:cs="Calibri"/>
                <w:color w:val="000000"/>
              </w:rPr>
            </w:pPr>
          </w:p>
        </w:tc>
      </w:tr>
      <w:tr w:rsidR="00BE428A" w14:paraId="52D5542E"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AF024" w14:textId="77777777" w:rsidR="00BE428A" w:rsidRDefault="00BE428A" w:rsidP="006F0760">
            <w:pPr>
              <w:rPr>
                <w:color w:val="000000"/>
              </w:rPr>
            </w:pPr>
            <w:r>
              <w:rPr>
                <w:color w:val="000000"/>
              </w:rPr>
              <w:t>sufficient</w:t>
            </w:r>
          </w:p>
        </w:tc>
        <w:tc>
          <w:tcPr>
            <w:tcW w:w="2938" w:type="pct"/>
            <w:vMerge/>
            <w:tcBorders>
              <w:top w:val="nil"/>
              <w:left w:val="nil"/>
              <w:bottom w:val="single" w:sz="8" w:space="0" w:color="auto"/>
              <w:right w:val="single" w:sz="8" w:space="0" w:color="auto"/>
            </w:tcBorders>
            <w:vAlign w:val="center"/>
            <w:hideMark/>
          </w:tcPr>
          <w:p w14:paraId="3C3B87CB" w14:textId="77777777" w:rsidR="00BE428A" w:rsidRDefault="00BE428A" w:rsidP="006F0760">
            <w:pPr>
              <w:spacing w:after="0"/>
              <w:rPr>
                <w:rFonts w:ascii="Calibri" w:hAnsi="Calibri" w:cs="Calibri"/>
                <w:color w:val="000000"/>
              </w:rPr>
            </w:pPr>
          </w:p>
        </w:tc>
      </w:tr>
      <w:tr w:rsidR="00AB1618" w14:paraId="3B012F6F" w14:textId="77777777" w:rsidTr="0044052E">
        <w:trPr>
          <w:trHeight w:val="58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04C7A" w14:textId="77777777" w:rsidR="00AB1618" w:rsidRDefault="00AB1618" w:rsidP="006F0760">
            <w:pPr>
              <w:rPr>
                <w:color w:val="000000"/>
              </w:rPr>
            </w:pPr>
            <w:r>
              <w:rPr>
                <w:color w:val="000000"/>
              </w:rPr>
              <w:t>level</w:t>
            </w:r>
          </w:p>
        </w:tc>
        <w:tc>
          <w:tcPr>
            <w:tcW w:w="2938" w:type="pct"/>
            <w:vMerge w:val="restart"/>
            <w:tcBorders>
              <w:top w:val="nil"/>
              <w:left w:val="nil"/>
              <w:right w:val="single" w:sz="8" w:space="0" w:color="auto"/>
            </w:tcBorders>
            <w:tcMar>
              <w:top w:w="0" w:type="dxa"/>
              <w:left w:w="108" w:type="dxa"/>
              <w:bottom w:w="0" w:type="dxa"/>
              <w:right w:w="108" w:type="dxa"/>
            </w:tcMar>
            <w:hideMark/>
          </w:tcPr>
          <w:p w14:paraId="7A8E9149" w14:textId="77777777" w:rsidR="00AB1618" w:rsidRDefault="00AB1618" w:rsidP="006F0760">
            <w:pPr>
              <w:rPr>
                <w:color w:val="000000"/>
              </w:rPr>
            </w:pPr>
            <w:r>
              <w:rPr>
                <w:color w:val="000000"/>
              </w:rPr>
              <w:t>Search for “level”. Its occurrence is sometimes used as “basic level” or “test level”.</w:t>
            </w:r>
            <w:r>
              <w:rPr>
                <w:color w:val="000000"/>
              </w:rPr>
              <w:br/>
              <w:t xml:space="preserve">replace “maximum level” with “limit” where </w:t>
            </w:r>
            <w:proofErr w:type="gramStart"/>
            <w:r>
              <w:rPr>
                <w:color w:val="000000"/>
              </w:rPr>
              <w:t>appropriate</w:t>
            </w:r>
            <w:proofErr w:type="gramEnd"/>
          </w:p>
          <w:p w14:paraId="3112D84F" w14:textId="7C5CA7D3" w:rsidR="00AB1618" w:rsidRDefault="002053C2" w:rsidP="006F0760">
            <w:pPr>
              <w:rPr>
                <w:color w:val="000000"/>
              </w:rPr>
            </w:pPr>
            <w:r>
              <w:rPr>
                <w:color w:val="000000"/>
              </w:rPr>
              <w:lastRenderedPageBreak/>
              <w:t>U</w:t>
            </w:r>
            <w:r w:rsidR="00AB1618">
              <w:rPr>
                <w:color w:val="000000"/>
              </w:rPr>
              <w:t>se "limits" instead of "test limits" or "test value", etc. Also, in the tables where “maximum values” appear instead, it should be written "limits."</w:t>
            </w:r>
          </w:p>
        </w:tc>
      </w:tr>
      <w:tr w:rsidR="00AB1618" w14:paraId="7609A8F2" w14:textId="77777777" w:rsidTr="0044052E">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57BE8" w14:textId="77777777" w:rsidR="00AB1618" w:rsidRDefault="00AB1618" w:rsidP="006F0760">
            <w:pPr>
              <w:rPr>
                <w:color w:val="000000"/>
              </w:rPr>
            </w:pPr>
            <w:r>
              <w:rPr>
                <w:color w:val="000000"/>
              </w:rPr>
              <w:t>test value</w:t>
            </w:r>
          </w:p>
        </w:tc>
        <w:tc>
          <w:tcPr>
            <w:tcW w:w="2938" w:type="pct"/>
            <w:vMerge/>
            <w:tcBorders>
              <w:left w:val="nil"/>
              <w:right w:val="single" w:sz="8" w:space="0" w:color="auto"/>
            </w:tcBorders>
            <w:tcMar>
              <w:top w:w="0" w:type="dxa"/>
              <w:left w:w="108" w:type="dxa"/>
              <w:bottom w:w="0" w:type="dxa"/>
              <w:right w:w="108" w:type="dxa"/>
            </w:tcMar>
            <w:hideMark/>
          </w:tcPr>
          <w:p w14:paraId="16EF512B" w14:textId="7F82E674" w:rsidR="00AB1618" w:rsidRDefault="00AB1618" w:rsidP="006F0760">
            <w:pPr>
              <w:rPr>
                <w:color w:val="000000"/>
              </w:rPr>
            </w:pPr>
          </w:p>
        </w:tc>
      </w:tr>
      <w:tr w:rsidR="00AB1618" w14:paraId="230A0BE1" w14:textId="77777777" w:rsidTr="0044052E">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3534F" w14:textId="77777777" w:rsidR="00AB1618" w:rsidRDefault="00AB1618" w:rsidP="006F0760">
            <w:pPr>
              <w:rPr>
                <w:color w:val="000000"/>
              </w:rPr>
            </w:pPr>
            <w:r>
              <w:rPr>
                <w:color w:val="000000"/>
              </w:rPr>
              <w:lastRenderedPageBreak/>
              <w:t>test limit</w:t>
            </w:r>
          </w:p>
        </w:tc>
        <w:tc>
          <w:tcPr>
            <w:tcW w:w="2938" w:type="pct"/>
            <w:vMerge/>
            <w:tcBorders>
              <w:left w:val="nil"/>
              <w:right w:val="single" w:sz="8" w:space="0" w:color="auto"/>
            </w:tcBorders>
            <w:vAlign w:val="center"/>
            <w:hideMark/>
          </w:tcPr>
          <w:p w14:paraId="73BFE03A" w14:textId="77777777" w:rsidR="00AB1618" w:rsidRDefault="00AB1618" w:rsidP="006F0760">
            <w:pPr>
              <w:spacing w:after="0"/>
              <w:rPr>
                <w:rFonts w:ascii="Calibri" w:hAnsi="Calibri" w:cs="Calibri"/>
                <w:color w:val="000000"/>
              </w:rPr>
            </w:pPr>
          </w:p>
        </w:tc>
      </w:tr>
      <w:tr w:rsidR="00AB1618" w14:paraId="68601D42" w14:textId="77777777" w:rsidTr="0044052E">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6857D" w14:textId="77777777" w:rsidR="00AB1618" w:rsidRDefault="00AB1618" w:rsidP="006F0760">
            <w:pPr>
              <w:rPr>
                <w:color w:val="000000"/>
              </w:rPr>
            </w:pPr>
            <w:r>
              <w:rPr>
                <w:color w:val="000000"/>
              </w:rPr>
              <w:t>maximum value</w:t>
            </w:r>
          </w:p>
        </w:tc>
        <w:tc>
          <w:tcPr>
            <w:tcW w:w="2938" w:type="pct"/>
            <w:vMerge/>
            <w:tcBorders>
              <w:left w:val="nil"/>
              <w:bottom w:val="single" w:sz="8" w:space="0" w:color="auto"/>
              <w:right w:val="single" w:sz="8" w:space="0" w:color="auto"/>
            </w:tcBorders>
            <w:vAlign w:val="center"/>
            <w:hideMark/>
          </w:tcPr>
          <w:p w14:paraId="04EBE295" w14:textId="77777777" w:rsidR="00AB1618" w:rsidRDefault="00AB1618" w:rsidP="006F0760">
            <w:pPr>
              <w:spacing w:after="0"/>
              <w:rPr>
                <w:rFonts w:ascii="Calibri" w:hAnsi="Calibri" w:cs="Calibri"/>
                <w:color w:val="000000"/>
              </w:rPr>
            </w:pPr>
          </w:p>
        </w:tc>
      </w:tr>
      <w:tr w:rsidR="00BE428A" w14:paraId="31C5CFDE" w14:textId="77777777" w:rsidTr="006F0760">
        <w:trPr>
          <w:trHeight w:val="615"/>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F507B" w14:textId="77777777" w:rsidR="00BE428A" w:rsidRDefault="00BE428A" w:rsidP="006F0760">
            <w:pPr>
              <w:rPr>
                <w:color w:val="000000"/>
              </w:rPr>
            </w:pPr>
            <w:r>
              <w:rPr>
                <w:color w:val="000000"/>
              </w:rPr>
              <w:t>higher than the values in</w:t>
            </w:r>
          </w:p>
        </w:tc>
        <w:tc>
          <w:tcPr>
            <w:tcW w:w="2938" w:type="pct"/>
            <w:tcBorders>
              <w:top w:val="nil"/>
              <w:left w:val="nil"/>
              <w:bottom w:val="single" w:sz="8" w:space="0" w:color="auto"/>
              <w:right w:val="single" w:sz="8" w:space="0" w:color="auto"/>
            </w:tcBorders>
            <w:tcMar>
              <w:top w:w="0" w:type="dxa"/>
              <w:left w:w="108" w:type="dxa"/>
              <w:bottom w:w="0" w:type="dxa"/>
              <w:right w:w="108" w:type="dxa"/>
            </w:tcMar>
            <w:hideMark/>
          </w:tcPr>
          <w:p w14:paraId="5FCF60EA" w14:textId="77777777" w:rsidR="00BE428A" w:rsidRDefault="00BE428A" w:rsidP="006F0760">
            <w:pPr>
              <w:rPr>
                <w:color w:val="000000"/>
              </w:rPr>
            </w:pPr>
            <w:r>
              <w:rPr>
                <w:color w:val="000000"/>
              </w:rPr>
              <w:t>Replace all the unprecise phrase occurrences to define a limit as “higher than the values in table” with “limits in table”</w:t>
            </w:r>
          </w:p>
        </w:tc>
      </w:tr>
      <w:tr w:rsidR="00BE428A" w14:paraId="0F57B76D" w14:textId="77777777" w:rsidTr="006F0760">
        <w:trPr>
          <w:trHeight w:val="290"/>
        </w:trPr>
        <w:tc>
          <w:tcPr>
            <w:tcW w:w="2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44FD8" w14:textId="77777777" w:rsidR="00BE428A" w:rsidRDefault="00BE428A" w:rsidP="006F0760">
            <w:pPr>
              <w:rPr>
                <w:color w:val="000000"/>
              </w:rPr>
            </w:pPr>
            <w:r>
              <w:rPr>
                <w:color w:val="000000"/>
              </w:rPr>
              <w:t>declared by manufacturer</w:t>
            </w:r>
          </w:p>
        </w:tc>
        <w:tc>
          <w:tcPr>
            <w:tcW w:w="2938" w:type="pct"/>
            <w:tcBorders>
              <w:top w:val="nil"/>
              <w:left w:val="nil"/>
              <w:bottom w:val="single" w:sz="8" w:space="0" w:color="auto"/>
              <w:right w:val="single" w:sz="8" w:space="0" w:color="auto"/>
            </w:tcBorders>
            <w:tcMar>
              <w:top w:w="0" w:type="dxa"/>
              <w:left w:w="108" w:type="dxa"/>
              <w:bottom w:w="0" w:type="dxa"/>
              <w:right w:w="108" w:type="dxa"/>
            </w:tcMar>
            <w:hideMark/>
          </w:tcPr>
          <w:p w14:paraId="6237BCED" w14:textId="5D694E56" w:rsidR="00BE428A" w:rsidRDefault="00BE428A" w:rsidP="006F0760">
            <w:pPr>
              <w:rPr>
                <w:color w:val="000000"/>
              </w:rPr>
            </w:pPr>
            <w:r>
              <w:rPr>
                <w:color w:val="000000"/>
              </w:rPr>
              <w:t>Avoid the use of "declared by manufacturer" or any similar phrases</w:t>
            </w:r>
            <w:r w:rsidR="00DE4656">
              <w:rPr>
                <w:color w:val="000000"/>
              </w:rPr>
              <w:t xml:space="preserve"> as </w:t>
            </w:r>
            <w:r>
              <w:rPr>
                <w:color w:val="000000"/>
              </w:rPr>
              <w:t>"manufacturer's declaration"</w:t>
            </w:r>
            <w:r w:rsidR="00DE4656">
              <w:rPr>
                <w:color w:val="000000"/>
              </w:rPr>
              <w:t xml:space="preserve">, “manufacturer </w:t>
            </w:r>
            <w:proofErr w:type="gramStart"/>
            <w:r w:rsidR="00DE4656">
              <w:rPr>
                <w:color w:val="000000"/>
              </w:rPr>
              <w:t>declared..</w:t>
            </w:r>
            <w:proofErr w:type="gramEnd"/>
            <w:r w:rsidR="00DE4656">
              <w:rPr>
                <w:color w:val="000000"/>
              </w:rPr>
              <w:t xml:space="preserve">” , etc. </w:t>
            </w:r>
            <w:r>
              <w:rPr>
                <w:color w:val="000000"/>
              </w:rPr>
              <w:t xml:space="preserve">“Intended use” </w:t>
            </w:r>
            <w:proofErr w:type="gramStart"/>
            <w:r>
              <w:rPr>
                <w:color w:val="000000"/>
              </w:rPr>
              <w:t>has to</w:t>
            </w:r>
            <w:proofErr w:type="gramEnd"/>
            <w:r>
              <w:rPr>
                <w:color w:val="000000"/>
              </w:rPr>
              <w:t xml:space="preserve"> be preferred to “intended use as declared by the manufacturer” (or similar wording).</w:t>
            </w:r>
          </w:p>
        </w:tc>
      </w:tr>
    </w:tbl>
    <w:p w14:paraId="07363961" w14:textId="77777777" w:rsidR="00610350" w:rsidRDefault="00610350" w:rsidP="00915CAE"/>
    <w:p w14:paraId="35F92901" w14:textId="77777777" w:rsidR="006376B8" w:rsidRDefault="006376B8" w:rsidP="00915CAE"/>
    <w:p w14:paraId="21AC0F17" w14:textId="77AFFF18" w:rsidR="00915CAE" w:rsidRDefault="00E2687F" w:rsidP="00915CAE">
      <w:pPr>
        <w:pStyle w:val="Heading1"/>
        <w:tabs>
          <w:tab w:val="left" w:pos="432"/>
        </w:tabs>
        <w:rPr>
          <w:sz w:val="28"/>
          <w:szCs w:val="28"/>
        </w:rPr>
      </w:pPr>
      <w:r>
        <w:rPr>
          <w:sz w:val="28"/>
          <w:szCs w:val="28"/>
        </w:rPr>
        <w:t>P</w:t>
      </w:r>
      <w:r w:rsidR="00915CAE" w:rsidRPr="00915CAE">
        <w:rPr>
          <w:sz w:val="28"/>
          <w:szCs w:val="28"/>
        </w:rPr>
        <w:t>roposals</w:t>
      </w:r>
    </w:p>
    <w:p w14:paraId="7E71B875" w14:textId="566EFB09" w:rsidR="009C7A2B" w:rsidRDefault="009D11CB" w:rsidP="009C7A2B">
      <w:r w:rsidRPr="00373E94">
        <w:rPr>
          <w:b/>
          <w:bCs/>
        </w:rPr>
        <w:t>Proposal:</w:t>
      </w:r>
      <w:r>
        <w:t xml:space="preserve"> </w:t>
      </w:r>
      <w:r w:rsidR="006E4770">
        <w:t>Initiate a task force in RAN4</w:t>
      </w:r>
      <w:r>
        <w:t xml:space="preserve"> to improve the BS specification involving</w:t>
      </w:r>
      <w:r w:rsidR="00737AE8">
        <w:t xml:space="preserve"> clarifications</w:t>
      </w:r>
      <w:r w:rsidR="00486424">
        <w:t xml:space="preserve"> as described above, removal of controversial and confusing statements and </w:t>
      </w:r>
      <w:r w:rsidR="00737AE8">
        <w:t>editorial</w:t>
      </w:r>
      <w:r w:rsidR="00486424">
        <w:t xml:space="preserve"> changed</w:t>
      </w:r>
      <w:r w:rsidR="00CB6045">
        <w:t xml:space="preserve"> to align with 3GPP drafting rules.</w:t>
      </w:r>
    </w:p>
    <w:p w14:paraId="6971ACAB" w14:textId="149DA72B" w:rsidR="00915CAE" w:rsidRDefault="009C7A2B" w:rsidP="00B55CC7">
      <w:pPr>
        <w:pStyle w:val="Heading1"/>
        <w:tabs>
          <w:tab w:val="left" w:pos="432"/>
        </w:tabs>
        <w:rPr>
          <w:sz w:val="28"/>
          <w:szCs w:val="28"/>
        </w:rPr>
      </w:pPr>
      <w:r w:rsidRPr="009C7A2B">
        <w:rPr>
          <w:sz w:val="28"/>
          <w:szCs w:val="28"/>
        </w:rPr>
        <w:t>References</w:t>
      </w:r>
    </w:p>
    <w:p w14:paraId="4E5BEC98" w14:textId="1B5A903C" w:rsidR="00B55CC7" w:rsidRDefault="00B55CC7" w:rsidP="00C507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889"/>
        </w:tabs>
      </w:pPr>
      <w:r>
        <w:t>[1]</w:t>
      </w:r>
      <w:r>
        <w:tab/>
      </w:r>
      <w:r w:rsidR="00C507ED">
        <w:t xml:space="preserve">ETSI EN 301 908-23 </w:t>
      </w:r>
      <w:hyperlink r:id="rId5" w:history="1">
        <w:r w:rsidR="00A76268">
          <w:rPr>
            <w:rStyle w:val="Hyperlink"/>
          </w:rPr>
          <w:t>Work Programme - Work Item Detailed Report (etsi.org)</w:t>
        </w:r>
      </w:hyperlink>
      <w:r w:rsidR="00C507ED">
        <w:tab/>
      </w:r>
      <w:r w:rsidR="00C507ED">
        <w:tab/>
      </w:r>
    </w:p>
    <w:p w14:paraId="57D2C78A" w14:textId="27CE742B" w:rsidR="00A76268" w:rsidRPr="00B55CC7" w:rsidRDefault="00C507ED" w:rsidP="00B55CC7">
      <w:r>
        <w:t>[2]</w:t>
      </w:r>
      <w:r>
        <w:tab/>
        <w:t xml:space="preserve">ETSI EN 301 908-24 </w:t>
      </w:r>
      <w:hyperlink r:id="rId6" w:history="1">
        <w:r>
          <w:rPr>
            <w:rStyle w:val="Hyperlink"/>
          </w:rPr>
          <w:t>Work Programme - Work Item Detailed Report (etsi.org)</w:t>
        </w:r>
      </w:hyperlink>
    </w:p>
    <w:sectPr w:rsidR="00A76268" w:rsidRPr="00B55CC7">
      <w:footnotePr>
        <w:numRestart w:val="eachSect"/>
      </w:footnotePr>
      <w:pgSz w:w="11907" w:h="16840"/>
      <w:pgMar w:top="720" w:right="720" w:bottom="720" w:left="720"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A95BA3"/>
    <w:multiLevelType w:val="multilevel"/>
    <w:tmpl w:val="22A95BA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27702B7E"/>
    <w:multiLevelType w:val="multilevel"/>
    <w:tmpl w:val="27702B7E"/>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 w15:restartNumberingAfterBreak="0">
    <w:nsid w:val="3A0F05F6"/>
    <w:multiLevelType w:val="hybridMultilevel"/>
    <w:tmpl w:val="CD40A71C"/>
    <w:lvl w:ilvl="0" w:tplc="50343A6E">
      <w:start w:val="1"/>
      <w:numFmt w:val="bullet"/>
      <w:lvlText w:val="•"/>
      <w:lvlJc w:val="left"/>
      <w:pPr>
        <w:tabs>
          <w:tab w:val="num" w:pos="720"/>
        </w:tabs>
        <w:ind w:left="720" w:hanging="360"/>
      </w:pPr>
      <w:rPr>
        <w:rFonts w:ascii="Arial" w:hAnsi="Arial" w:hint="default"/>
      </w:rPr>
    </w:lvl>
    <w:lvl w:ilvl="1" w:tplc="122C8BFC" w:tentative="1">
      <w:start w:val="1"/>
      <w:numFmt w:val="bullet"/>
      <w:lvlText w:val="•"/>
      <w:lvlJc w:val="left"/>
      <w:pPr>
        <w:tabs>
          <w:tab w:val="num" w:pos="1440"/>
        </w:tabs>
        <w:ind w:left="1440" w:hanging="360"/>
      </w:pPr>
      <w:rPr>
        <w:rFonts w:ascii="Arial" w:hAnsi="Arial" w:hint="default"/>
      </w:rPr>
    </w:lvl>
    <w:lvl w:ilvl="2" w:tplc="CAAA704A" w:tentative="1">
      <w:start w:val="1"/>
      <w:numFmt w:val="bullet"/>
      <w:lvlText w:val="•"/>
      <w:lvlJc w:val="left"/>
      <w:pPr>
        <w:tabs>
          <w:tab w:val="num" w:pos="2160"/>
        </w:tabs>
        <w:ind w:left="2160" w:hanging="360"/>
      </w:pPr>
      <w:rPr>
        <w:rFonts w:ascii="Arial" w:hAnsi="Arial" w:hint="default"/>
      </w:rPr>
    </w:lvl>
    <w:lvl w:ilvl="3" w:tplc="3F52B0C4" w:tentative="1">
      <w:start w:val="1"/>
      <w:numFmt w:val="bullet"/>
      <w:lvlText w:val="•"/>
      <w:lvlJc w:val="left"/>
      <w:pPr>
        <w:tabs>
          <w:tab w:val="num" w:pos="2880"/>
        </w:tabs>
        <w:ind w:left="2880" w:hanging="360"/>
      </w:pPr>
      <w:rPr>
        <w:rFonts w:ascii="Arial" w:hAnsi="Arial" w:hint="default"/>
      </w:rPr>
    </w:lvl>
    <w:lvl w:ilvl="4" w:tplc="D6984664" w:tentative="1">
      <w:start w:val="1"/>
      <w:numFmt w:val="bullet"/>
      <w:lvlText w:val="•"/>
      <w:lvlJc w:val="left"/>
      <w:pPr>
        <w:tabs>
          <w:tab w:val="num" w:pos="3600"/>
        </w:tabs>
        <w:ind w:left="3600" w:hanging="360"/>
      </w:pPr>
      <w:rPr>
        <w:rFonts w:ascii="Arial" w:hAnsi="Arial" w:hint="default"/>
      </w:rPr>
    </w:lvl>
    <w:lvl w:ilvl="5" w:tplc="E3CA4B1A" w:tentative="1">
      <w:start w:val="1"/>
      <w:numFmt w:val="bullet"/>
      <w:lvlText w:val="•"/>
      <w:lvlJc w:val="left"/>
      <w:pPr>
        <w:tabs>
          <w:tab w:val="num" w:pos="4320"/>
        </w:tabs>
        <w:ind w:left="4320" w:hanging="360"/>
      </w:pPr>
      <w:rPr>
        <w:rFonts w:ascii="Arial" w:hAnsi="Arial" w:hint="default"/>
      </w:rPr>
    </w:lvl>
    <w:lvl w:ilvl="6" w:tplc="ADFC3DC8" w:tentative="1">
      <w:start w:val="1"/>
      <w:numFmt w:val="bullet"/>
      <w:lvlText w:val="•"/>
      <w:lvlJc w:val="left"/>
      <w:pPr>
        <w:tabs>
          <w:tab w:val="num" w:pos="5040"/>
        </w:tabs>
        <w:ind w:left="5040" w:hanging="360"/>
      </w:pPr>
      <w:rPr>
        <w:rFonts w:ascii="Arial" w:hAnsi="Arial" w:hint="default"/>
      </w:rPr>
    </w:lvl>
    <w:lvl w:ilvl="7" w:tplc="AA0E75E4" w:tentative="1">
      <w:start w:val="1"/>
      <w:numFmt w:val="bullet"/>
      <w:lvlText w:val="•"/>
      <w:lvlJc w:val="left"/>
      <w:pPr>
        <w:tabs>
          <w:tab w:val="num" w:pos="5760"/>
        </w:tabs>
        <w:ind w:left="5760" w:hanging="360"/>
      </w:pPr>
      <w:rPr>
        <w:rFonts w:ascii="Arial" w:hAnsi="Arial" w:hint="default"/>
      </w:rPr>
    </w:lvl>
    <w:lvl w:ilvl="8" w:tplc="2BCA53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DE03BC"/>
    <w:multiLevelType w:val="multilevel"/>
    <w:tmpl w:val="3EDE03BC"/>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5" w15:restartNumberingAfterBreak="0">
    <w:nsid w:val="40222AE4"/>
    <w:multiLevelType w:val="multilevel"/>
    <w:tmpl w:val="4022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7B0D2F"/>
    <w:multiLevelType w:val="hybridMultilevel"/>
    <w:tmpl w:val="48D0A2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AC78BC"/>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A882068"/>
    <w:multiLevelType w:val="hybridMultilevel"/>
    <w:tmpl w:val="15B6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581304612">
    <w:abstractNumId w:val="9"/>
  </w:num>
  <w:num w:numId="2" w16cid:durableId="2084638977">
    <w:abstractNumId w:val="5"/>
  </w:num>
  <w:num w:numId="3" w16cid:durableId="115099422">
    <w:abstractNumId w:val="4"/>
  </w:num>
  <w:num w:numId="4" w16cid:durableId="387723634">
    <w:abstractNumId w:val="2"/>
  </w:num>
  <w:num w:numId="5" w16cid:durableId="402801903">
    <w:abstractNumId w:val="7"/>
  </w:num>
  <w:num w:numId="6" w16cid:durableId="890582549">
    <w:abstractNumId w:val="0"/>
  </w:num>
  <w:num w:numId="7" w16cid:durableId="294718262">
    <w:abstractNumId w:val="1"/>
  </w:num>
  <w:num w:numId="8" w16cid:durableId="1438253599">
    <w:abstractNumId w:val="6"/>
  </w:num>
  <w:num w:numId="9" w16cid:durableId="44838110">
    <w:abstractNumId w:val="8"/>
  </w:num>
  <w:num w:numId="10" w16cid:durableId="351734367">
    <w:abstractNumId w:val="9"/>
  </w:num>
  <w:num w:numId="11" w16cid:durableId="1467353334">
    <w:abstractNumId w:val="9"/>
  </w:num>
  <w:num w:numId="12" w16cid:durableId="273751204">
    <w:abstractNumId w:val="3"/>
  </w:num>
  <w:num w:numId="13" w16cid:durableId="3499127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NotTrackMoves/>
  <w:defaultTabStop w:val="420"/>
  <w:drawingGridHorizontalSpacing w:val="10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1455"/>
    <w:rsid w:val="00000BD7"/>
    <w:rsid w:val="00001291"/>
    <w:rsid w:val="00001698"/>
    <w:rsid w:val="00001839"/>
    <w:rsid w:val="0000283E"/>
    <w:rsid w:val="000028DD"/>
    <w:rsid w:val="00002AF8"/>
    <w:rsid w:val="000049B1"/>
    <w:rsid w:val="00004B4A"/>
    <w:rsid w:val="00005055"/>
    <w:rsid w:val="0000532F"/>
    <w:rsid w:val="00005510"/>
    <w:rsid w:val="0000585F"/>
    <w:rsid w:val="0000664B"/>
    <w:rsid w:val="000066AC"/>
    <w:rsid w:val="000068DA"/>
    <w:rsid w:val="0000695D"/>
    <w:rsid w:val="00007783"/>
    <w:rsid w:val="0000788B"/>
    <w:rsid w:val="00010945"/>
    <w:rsid w:val="00010FCF"/>
    <w:rsid w:val="0001144F"/>
    <w:rsid w:val="00011BA1"/>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4F4"/>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13"/>
    <w:rsid w:val="000328AD"/>
    <w:rsid w:val="0003379A"/>
    <w:rsid w:val="00033BBF"/>
    <w:rsid w:val="000346D6"/>
    <w:rsid w:val="000363CC"/>
    <w:rsid w:val="000371E4"/>
    <w:rsid w:val="00040CD4"/>
    <w:rsid w:val="00041630"/>
    <w:rsid w:val="0004178B"/>
    <w:rsid w:val="00042511"/>
    <w:rsid w:val="00044C28"/>
    <w:rsid w:val="00044F34"/>
    <w:rsid w:val="000503D5"/>
    <w:rsid w:val="000504BA"/>
    <w:rsid w:val="00050E97"/>
    <w:rsid w:val="0005157B"/>
    <w:rsid w:val="00052F5C"/>
    <w:rsid w:val="00053567"/>
    <w:rsid w:val="00053AEA"/>
    <w:rsid w:val="00053E8E"/>
    <w:rsid w:val="0005451D"/>
    <w:rsid w:val="00054C34"/>
    <w:rsid w:val="00054D46"/>
    <w:rsid w:val="00055967"/>
    <w:rsid w:val="0005655F"/>
    <w:rsid w:val="0006018C"/>
    <w:rsid w:val="00060FE3"/>
    <w:rsid w:val="00061483"/>
    <w:rsid w:val="0006280E"/>
    <w:rsid w:val="0006481F"/>
    <w:rsid w:val="00064870"/>
    <w:rsid w:val="000653C1"/>
    <w:rsid w:val="00065D20"/>
    <w:rsid w:val="00065F75"/>
    <w:rsid w:val="00065F76"/>
    <w:rsid w:val="00067448"/>
    <w:rsid w:val="00070CA9"/>
    <w:rsid w:val="0007125D"/>
    <w:rsid w:val="00071F1A"/>
    <w:rsid w:val="000722A2"/>
    <w:rsid w:val="00072DEC"/>
    <w:rsid w:val="00073A13"/>
    <w:rsid w:val="00073F9A"/>
    <w:rsid w:val="0007426D"/>
    <w:rsid w:val="000742F1"/>
    <w:rsid w:val="00074D94"/>
    <w:rsid w:val="00075063"/>
    <w:rsid w:val="00075248"/>
    <w:rsid w:val="0007587D"/>
    <w:rsid w:val="00076356"/>
    <w:rsid w:val="00076663"/>
    <w:rsid w:val="000769FE"/>
    <w:rsid w:val="00076B09"/>
    <w:rsid w:val="00076EB1"/>
    <w:rsid w:val="0007702A"/>
    <w:rsid w:val="00077273"/>
    <w:rsid w:val="00080970"/>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4DF"/>
    <w:rsid w:val="000A1AC6"/>
    <w:rsid w:val="000A2857"/>
    <w:rsid w:val="000A290C"/>
    <w:rsid w:val="000A35B5"/>
    <w:rsid w:val="000A37BC"/>
    <w:rsid w:val="000A4114"/>
    <w:rsid w:val="000A49A8"/>
    <w:rsid w:val="000A67F8"/>
    <w:rsid w:val="000B1221"/>
    <w:rsid w:val="000B1F19"/>
    <w:rsid w:val="000B2202"/>
    <w:rsid w:val="000B278F"/>
    <w:rsid w:val="000B312A"/>
    <w:rsid w:val="000B34C6"/>
    <w:rsid w:val="000B350E"/>
    <w:rsid w:val="000B3530"/>
    <w:rsid w:val="000B35FA"/>
    <w:rsid w:val="000B377D"/>
    <w:rsid w:val="000B3AF7"/>
    <w:rsid w:val="000B43E7"/>
    <w:rsid w:val="000B4AA6"/>
    <w:rsid w:val="000B556B"/>
    <w:rsid w:val="000B5987"/>
    <w:rsid w:val="000B64C3"/>
    <w:rsid w:val="000B6E48"/>
    <w:rsid w:val="000B6E80"/>
    <w:rsid w:val="000B6F80"/>
    <w:rsid w:val="000B7822"/>
    <w:rsid w:val="000B7F99"/>
    <w:rsid w:val="000C0420"/>
    <w:rsid w:val="000C07C0"/>
    <w:rsid w:val="000C10F9"/>
    <w:rsid w:val="000C19F0"/>
    <w:rsid w:val="000C2079"/>
    <w:rsid w:val="000C2424"/>
    <w:rsid w:val="000C39A4"/>
    <w:rsid w:val="000C3D96"/>
    <w:rsid w:val="000C4942"/>
    <w:rsid w:val="000C49D0"/>
    <w:rsid w:val="000C5292"/>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C61"/>
    <w:rsid w:val="000D7DA3"/>
    <w:rsid w:val="000E032A"/>
    <w:rsid w:val="000E0AEF"/>
    <w:rsid w:val="000E0D21"/>
    <w:rsid w:val="000E0D98"/>
    <w:rsid w:val="000E1949"/>
    <w:rsid w:val="000E1B95"/>
    <w:rsid w:val="000E206E"/>
    <w:rsid w:val="000E243F"/>
    <w:rsid w:val="000E25CD"/>
    <w:rsid w:val="000E38A5"/>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D35"/>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2F0"/>
    <w:rsid w:val="00101494"/>
    <w:rsid w:val="00101C27"/>
    <w:rsid w:val="00103A28"/>
    <w:rsid w:val="0010582B"/>
    <w:rsid w:val="00106F66"/>
    <w:rsid w:val="00107C55"/>
    <w:rsid w:val="00107FF8"/>
    <w:rsid w:val="00110C09"/>
    <w:rsid w:val="001120B3"/>
    <w:rsid w:val="001126EF"/>
    <w:rsid w:val="00112B0B"/>
    <w:rsid w:val="00112F8C"/>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8C"/>
    <w:rsid w:val="0013169D"/>
    <w:rsid w:val="00132700"/>
    <w:rsid w:val="0013378D"/>
    <w:rsid w:val="00133D05"/>
    <w:rsid w:val="0013598E"/>
    <w:rsid w:val="00136061"/>
    <w:rsid w:val="00136834"/>
    <w:rsid w:val="00136F3D"/>
    <w:rsid w:val="00137982"/>
    <w:rsid w:val="001402F2"/>
    <w:rsid w:val="00140C8D"/>
    <w:rsid w:val="0014152A"/>
    <w:rsid w:val="00142443"/>
    <w:rsid w:val="00144511"/>
    <w:rsid w:val="00145CDD"/>
    <w:rsid w:val="001460F4"/>
    <w:rsid w:val="0014612A"/>
    <w:rsid w:val="001467B0"/>
    <w:rsid w:val="001467CE"/>
    <w:rsid w:val="00146A28"/>
    <w:rsid w:val="00146C80"/>
    <w:rsid w:val="00146F82"/>
    <w:rsid w:val="00150CA7"/>
    <w:rsid w:val="0015432E"/>
    <w:rsid w:val="00154449"/>
    <w:rsid w:val="00155FC8"/>
    <w:rsid w:val="00156368"/>
    <w:rsid w:val="0015689C"/>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67C6E"/>
    <w:rsid w:val="00170005"/>
    <w:rsid w:val="00170CB4"/>
    <w:rsid w:val="00170D8A"/>
    <w:rsid w:val="00170DF7"/>
    <w:rsid w:val="001718DC"/>
    <w:rsid w:val="00171B98"/>
    <w:rsid w:val="001720E2"/>
    <w:rsid w:val="0017239C"/>
    <w:rsid w:val="00174A3D"/>
    <w:rsid w:val="00175B25"/>
    <w:rsid w:val="00176367"/>
    <w:rsid w:val="001778B6"/>
    <w:rsid w:val="0017793C"/>
    <w:rsid w:val="00177CA1"/>
    <w:rsid w:val="00180A37"/>
    <w:rsid w:val="0018149C"/>
    <w:rsid w:val="00181C7F"/>
    <w:rsid w:val="00183889"/>
    <w:rsid w:val="00183CEE"/>
    <w:rsid w:val="00184F92"/>
    <w:rsid w:val="001856EB"/>
    <w:rsid w:val="00185B97"/>
    <w:rsid w:val="00186634"/>
    <w:rsid w:val="00186D2E"/>
    <w:rsid w:val="0018712C"/>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2B"/>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0DC"/>
    <w:rsid w:val="001C459E"/>
    <w:rsid w:val="001C59D2"/>
    <w:rsid w:val="001C5C14"/>
    <w:rsid w:val="001C6163"/>
    <w:rsid w:val="001C6564"/>
    <w:rsid w:val="001C7654"/>
    <w:rsid w:val="001C7AEA"/>
    <w:rsid w:val="001C7F05"/>
    <w:rsid w:val="001D0102"/>
    <w:rsid w:val="001D012A"/>
    <w:rsid w:val="001D01A8"/>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45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3B3"/>
    <w:rsid w:val="001F3A8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623"/>
    <w:rsid w:val="00204431"/>
    <w:rsid w:val="002044F6"/>
    <w:rsid w:val="0020502B"/>
    <w:rsid w:val="002053C2"/>
    <w:rsid w:val="002055A9"/>
    <w:rsid w:val="00205B14"/>
    <w:rsid w:val="00205EE2"/>
    <w:rsid w:val="0020739B"/>
    <w:rsid w:val="002100B3"/>
    <w:rsid w:val="00210BDA"/>
    <w:rsid w:val="0021147E"/>
    <w:rsid w:val="0021162B"/>
    <w:rsid w:val="00212091"/>
    <w:rsid w:val="00212131"/>
    <w:rsid w:val="0021245C"/>
    <w:rsid w:val="00213C4D"/>
    <w:rsid w:val="00213F0D"/>
    <w:rsid w:val="002145B5"/>
    <w:rsid w:val="002147A1"/>
    <w:rsid w:val="00215978"/>
    <w:rsid w:val="002173C7"/>
    <w:rsid w:val="00217A80"/>
    <w:rsid w:val="0022200D"/>
    <w:rsid w:val="00222346"/>
    <w:rsid w:val="00222562"/>
    <w:rsid w:val="00222BE2"/>
    <w:rsid w:val="00222ED1"/>
    <w:rsid w:val="00223700"/>
    <w:rsid w:val="00223FC1"/>
    <w:rsid w:val="0022422B"/>
    <w:rsid w:val="0022451D"/>
    <w:rsid w:val="00224924"/>
    <w:rsid w:val="00225AF7"/>
    <w:rsid w:val="0022640E"/>
    <w:rsid w:val="0022659A"/>
    <w:rsid w:val="002267D6"/>
    <w:rsid w:val="00226E46"/>
    <w:rsid w:val="00227636"/>
    <w:rsid w:val="00230138"/>
    <w:rsid w:val="00230DA4"/>
    <w:rsid w:val="00230F58"/>
    <w:rsid w:val="002329AA"/>
    <w:rsid w:val="002337C2"/>
    <w:rsid w:val="00233876"/>
    <w:rsid w:val="0023431B"/>
    <w:rsid w:val="002344FE"/>
    <w:rsid w:val="002353AF"/>
    <w:rsid w:val="00235BCF"/>
    <w:rsid w:val="00235E3B"/>
    <w:rsid w:val="0023691D"/>
    <w:rsid w:val="00237B38"/>
    <w:rsid w:val="00240EE5"/>
    <w:rsid w:val="002413FB"/>
    <w:rsid w:val="00241635"/>
    <w:rsid w:val="00241943"/>
    <w:rsid w:val="00241BD4"/>
    <w:rsid w:val="00241EB2"/>
    <w:rsid w:val="00241FA1"/>
    <w:rsid w:val="00243E44"/>
    <w:rsid w:val="002446CD"/>
    <w:rsid w:val="00244F13"/>
    <w:rsid w:val="0024548A"/>
    <w:rsid w:val="00245B88"/>
    <w:rsid w:val="00245C71"/>
    <w:rsid w:val="00245D7A"/>
    <w:rsid w:val="0024633C"/>
    <w:rsid w:val="002466A6"/>
    <w:rsid w:val="00246F22"/>
    <w:rsid w:val="00247BBE"/>
    <w:rsid w:val="00250029"/>
    <w:rsid w:val="00250260"/>
    <w:rsid w:val="002505BC"/>
    <w:rsid w:val="002505EE"/>
    <w:rsid w:val="00250C95"/>
    <w:rsid w:val="0025149C"/>
    <w:rsid w:val="00252694"/>
    <w:rsid w:val="00252F8F"/>
    <w:rsid w:val="002534FB"/>
    <w:rsid w:val="00253D34"/>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13A"/>
    <w:rsid w:val="002646A8"/>
    <w:rsid w:val="00264AE0"/>
    <w:rsid w:val="00264B96"/>
    <w:rsid w:val="00270F84"/>
    <w:rsid w:val="00270F85"/>
    <w:rsid w:val="00271102"/>
    <w:rsid w:val="0027165B"/>
    <w:rsid w:val="00272043"/>
    <w:rsid w:val="00272BCA"/>
    <w:rsid w:val="002733D6"/>
    <w:rsid w:val="00273E2E"/>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5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5B6"/>
    <w:rsid w:val="002B3FCC"/>
    <w:rsid w:val="002B4C2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3D3"/>
    <w:rsid w:val="002D3534"/>
    <w:rsid w:val="002D3E08"/>
    <w:rsid w:val="002D49F9"/>
    <w:rsid w:val="002D506B"/>
    <w:rsid w:val="002D509E"/>
    <w:rsid w:val="002D7E4C"/>
    <w:rsid w:val="002E04DA"/>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DC9"/>
    <w:rsid w:val="00305269"/>
    <w:rsid w:val="00305A3C"/>
    <w:rsid w:val="00306C40"/>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3BA"/>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E94"/>
    <w:rsid w:val="00374925"/>
    <w:rsid w:val="00375B26"/>
    <w:rsid w:val="00375E55"/>
    <w:rsid w:val="0037652B"/>
    <w:rsid w:val="0037666E"/>
    <w:rsid w:val="00376BED"/>
    <w:rsid w:val="00377B7D"/>
    <w:rsid w:val="00377D58"/>
    <w:rsid w:val="00380711"/>
    <w:rsid w:val="00380FFC"/>
    <w:rsid w:val="00381ACC"/>
    <w:rsid w:val="00382597"/>
    <w:rsid w:val="00382A1A"/>
    <w:rsid w:val="00382AEA"/>
    <w:rsid w:val="00382C11"/>
    <w:rsid w:val="00382CCA"/>
    <w:rsid w:val="00382E6F"/>
    <w:rsid w:val="003836F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BC4"/>
    <w:rsid w:val="00392D4B"/>
    <w:rsid w:val="00393958"/>
    <w:rsid w:val="00394082"/>
    <w:rsid w:val="00394956"/>
    <w:rsid w:val="00394E26"/>
    <w:rsid w:val="00395508"/>
    <w:rsid w:val="00395D66"/>
    <w:rsid w:val="003964C2"/>
    <w:rsid w:val="00396E11"/>
    <w:rsid w:val="00397442"/>
    <w:rsid w:val="00397465"/>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0D7"/>
    <w:rsid w:val="003B643C"/>
    <w:rsid w:val="003B6E0D"/>
    <w:rsid w:val="003B7087"/>
    <w:rsid w:val="003B77B8"/>
    <w:rsid w:val="003B7AAC"/>
    <w:rsid w:val="003C0278"/>
    <w:rsid w:val="003C0BB7"/>
    <w:rsid w:val="003C0FB5"/>
    <w:rsid w:val="003C1039"/>
    <w:rsid w:val="003C1439"/>
    <w:rsid w:val="003C1AE1"/>
    <w:rsid w:val="003C421A"/>
    <w:rsid w:val="003C4B33"/>
    <w:rsid w:val="003C63A7"/>
    <w:rsid w:val="003C6EC8"/>
    <w:rsid w:val="003C77D2"/>
    <w:rsid w:val="003D02D5"/>
    <w:rsid w:val="003D069C"/>
    <w:rsid w:val="003D0728"/>
    <w:rsid w:val="003D1BB6"/>
    <w:rsid w:val="003D2634"/>
    <w:rsid w:val="003D2EA7"/>
    <w:rsid w:val="003D3C4C"/>
    <w:rsid w:val="003D57E8"/>
    <w:rsid w:val="003D5FD7"/>
    <w:rsid w:val="003D63E0"/>
    <w:rsid w:val="003D79D9"/>
    <w:rsid w:val="003D7E7B"/>
    <w:rsid w:val="003E02B6"/>
    <w:rsid w:val="003E0CB2"/>
    <w:rsid w:val="003E0F8B"/>
    <w:rsid w:val="003E0FA0"/>
    <w:rsid w:val="003E1005"/>
    <w:rsid w:val="003E1366"/>
    <w:rsid w:val="003E1911"/>
    <w:rsid w:val="003E1996"/>
    <w:rsid w:val="003E1EA3"/>
    <w:rsid w:val="003E211E"/>
    <w:rsid w:val="003E2A5F"/>
    <w:rsid w:val="003E333E"/>
    <w:rsid w:val="003E35F3"/>
    <w:rsid w:val="003E375A"/>
    <w:rsid w:val="003E447D"/>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5D"/>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13C"/>
    <w:rsid w:val="004169A3"/>
    <w:rsid w:val="00417701"/>
    <w:rsid w:val="00417781"/>
    <w:rsid w:val="0042066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51B"/>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224"/>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753"/>
    <w:rsid w:val="00486424"/>
    <w:rsid w:val="00490190"/>
    <w:rsid w:val="004905B0"/>
    <w:rsid w:val="004908FA"/>
    <w:rsid w:val="00490A6D"/>
    <w:rsid w:val="0049190E"/>
    <w:rsid w:val="00491BF7"/>
    <w:rsid w:val="00491DC7"/>
    <w:rsid w:val="0049213D"/>
    <w:rsid w:val="004923F3"/>
    <w:rsid w:val="00492DC5"/>
    <w:rsid w:val="00496068"/>
    <w:rsid w:val="00496170"/>
    <w:rsid w:val="00496D7B"/>
    <w:rsid w:val="004A0BAA"/>
    <w:rsid w:val="004A0C65"/>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6A7"/>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87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4F7F4B"/>
    <w:rsid w:val="005006E2"/>
    <w:rsid w:val="00500FBE"/>
    <w:rsid w:val="0050146B"/>
    <w:rsid w:val="00501905"/>
    <w:rsid w:val="0050196F"/>
    <w:rsid w:val="00501FDA"/>
    <w:rsid w:val="005027B7"/>
    <w:rsid w:val="005033E2"/>
    <w:rsid w:val="00503B27"/>
    <w:rsid w:val="00503BBA"/>
    <w:rsid w:val="00503DCA"/>
    <w:rsid w:val="00504324"/>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40F"/>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269"/>
    <w:rsid w:val="0054251F"/>
    <w:rsid w:val="00544BC8"/>
    <w:rsid w:val="0054519E"/>
    <w:rsid w:val="0054544C"/>
    <w:rsid w:val="00545A1C"/>
    <w:rsid w:val="00545C0F"/>
    <w:rsid w:val="00546A98"/>
    <w:rsid w:val="0054719A"/>
    <w:rsid w:val="00547F7C"/>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52D"/>
    <w:rsid w:val="005607A4"/>
    <w:rsid w:val="0056285C"/>
    <w:rsid w:val="00563687"/>
    <w:rsid w:val="00563D36"/>
    <w:rsid w:val="00563FB6"/>
    <w:rsid w:val="005643EE"/>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3EE"/>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CF7"/>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2D4"/>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C82"/>
    <w:rsid w:val="005E3EA2"/>
    <w:rsid w:val="005E43FC"/>
    <w:rsid w:val="005E44BF"/>
    <w:rsid w:val="005E475F"/>
    <w:rsid w:val="005E4BF7"/>
    <w:rsid w:val="005E4D38"/>
    <w:rsid w:val="005E4E79"/>
    <w:rsid w:val="005E4E8F"/>
    <w:rsid w:val="005E500F"/>
    <w:rsid w:val="005E5958"/>
    <w:rsid w:val="005E5C40"/>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350"/>
    <w:rsid w:val="00610B52"/>
    <w:rsid w:val="00610CA5"/>
    <w:rsid w:val="0061158F"/>
    <w:rsid w:val="0061194F"/>
    <w:rsid w:val="00611BEC"/>
    <w:rsid w:val="00611C7F"/>
    <w:rsid w:val="00612517"/>
    <w:rsid w:val="006128F4"/>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882"/>
    <w:rsid w:val="00627421"/>
    <w:rsid w:val="00627425"/>
    <w:rsid w:val="006278EE"/>
    <w:rsid w:val="00630C3B"/>
    <w:rsid w:val="00630C7A"/>
    <w:rsid w:val="006312A6"/>
    <w:rsid w:val="006313DB"/>
    <w:rsid w:val="0063149E"/>
    <w:rsid w:val="006322F0"/>
    <w:rsid w:val="0063294D"/>
    <w:rsid w:val="00633750"/>
    <w:rsid w:val="0063375F"/>
    <w:rsid w:val="00634F25"/>
    <w:rsid w:val="00635064"/>
    <w:rsid w:val="006359DA"/>
    <w:rsid w:val="00635F53"/>
    <w:rsid w:val="0063682E"/>
    <w:rsid w:val="00636EC4"/>
    <w:rsid w:val="00637151"/>
    <w:rsid w:val="006376A7"/>
    <w:rsid w:val="006376B8"/>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5BED"/>
    <w:rsid w:val="006461E0"/>
    <w:rsid w:val="006501E0"/>
    <w:rsid w:val="006505A4"/>
    <w:rsid w:val="006509B6"/>
    <w:rsid w:val="00651881"/>
    <w:rsid w:val="00651BB2"/>
    <w:rsid w:val="006524A7"/>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656"/>
    <w:rsid w:val="00665910"/>
    <w:rsid w:val="00665D37"/>
    <w:rsid w:val="00665FDC"/>
    <w:rsid w:val="006667DA"/>
    <w:rsid w:val="00666869"/>
    <w:rsid w:val="00670570"/>
    <w:rsid w:val="006707C2"/>
    <w:rsid w:val="006711A3"/>
    <w:rsid w:val="0067198E"/>
    <w:rsid w:val="0067290C"/>
    <w:rsid w:val="00672EC1"/>
    <w:rsid w:val="006736E0"/>
    <w:rsid w:val="006738A7"/>
    <w:rsid w:val="00673D5B"/>
    <w:rsid w:val="00675963"/>
    <w:rsid w:val="00675EA3"/>
    <w:rsid w:val="0067607D"/>
    <w:rsid w:val="006762A9"/>
    <w:rsid w:val="0067649C"/>
    <w:rsid w:val="00676648"/>
    <w:rsid w:val="00677764"/>
    <w:rsid w:val="00677FAA"/>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79"/>
    <w:rsid w:val="006A0FAC"/>
    <w:rsid w:val="006A12E3"/>
    <w:rsid w:val="006A1B63"/>
    <w:rsid w:val="006A21DB"/>
    <w:rsid w:val="006A3C50"/>
    <w:rsid w:val="006A44D6"/>
    <w:rsid w:val="006A7060"/>
    <w:rsid w:val="006A7090"/>
    <w:rsid w:val="006A72E9"/>
    <w:rsid w:val="006A7CCE"/>
    <w:rsid w:val="006B0917"/>
    <w:rsid w:val="006B1514"/>
    <w:rsid w:val="006B17A1"/>
    <w:rsid w:val="006B287B"/>
    <w:rsid w:val="006B2D11"/>
    <w:rsid w:val="006B63FF"/>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0F60"/>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770"/>
    <w:rsid w:val="006E488D"/>
    <w:rsid w:val="006E4DE3"/>
    <w:rsid w:val="006E55C3"/>
    <w:rsid w:val="006E5A2B"/>
    <w:rsid w:val="006E651D"/>
    <w:rsid w:val="006E74DD"/>
    <w:rsid w:val="006F000B"/>
    <w:rsid w:val="006F0FDA"/>
    <w:rsid w:val="006F132E"/>
    <w:rsid w:val="006F1DF4"/>
    <w:rsid w:val="006F38CF"/>
    <w:rsid w:val="006F392E"/>
    <w:rsid w:val="006F39AA"/>
    <w:rsid w:val="006F39AE"/>
    <w:rsid w:val="006F42AE"/>
    <w:rsid w:val="006F5128"/>
    <w:rsid w:val="006F5AD3"/>
    <w:rsid w:val="006F65D6"/>
    <w:rsid w:val="006F688B"/>
    <w:rsid w:val="006F6940"/>
    <w:rsid w:val="006F7CFD"/>
    <w:rsid w:val="00701BBB"/>
    <w:rsid w:val="0070289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6B"/>
    <w:rsid w:val="007257CB"/>
    <w:rsid w:val="00725871"/>
    <w:rsid w:val="00726C28"/>
    <w:rsid w:val="0072704C"/>
    <w:rsid w:val="00730F80"/>
    <w:rsid w:val="0073102C"/>
    <w:rsid w:val="00731616"/>
    <w:rsid w:val="00731C2C"/>
    <w:rsid w:val="00731D52"/>
    <w:rsid w:val="00732472"/>
    <w:rsid w:val="00732763"/>
    <w:rsid w:val="00732A4A"/>
    <w:rsid w:val="00732EDC"/>
    <w:rsid w:val="0073332B"/>
    <w:rsid w:val="0073337E"/>
    <w:rsid w:val="00734046"/>
    <w:rsid w:val="00736E60"/>
    <w:rsid w:val="00736FF6"/>
    <w:rsid w:val="0073713A"/>
    <w:rsid w:val="0073714B"/>
    <w:rsid w:val="0073790A"/>
    <w:rsid w:val="00737AE8"/>
    <w:rsid w:val="00737C17"/>
    <w:rsid w:val="007400DB"/>
    <w:rsid w:val="00740487"/>
    <w:rsid w:val="00740A7A"/>
    <w:rsid w:val="00741186"/>
    <w:rsid w:val="007414B5"/>
    <w:rsid w:val="0074165F"/>
    <w:rsid w:val="00741FF7"/>
    <w:rsid w:val="00742262"/>
    <w:rsid w:val="00742993"/>
    <w:rsid w:val="00744F44"/>
    <w:rsid w:val="00745314"/>
    <w:rsid w:val="0074568D"/>
    <w:rsid w:val="00746350"/>
    <w:rsid w:val="00747A75"/>
    <w:rsid w:val="00750BDE"/>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40C"/>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23D"/>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1C0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3E8"/>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4F63"/>
    <w:rsid w:val="00805B7F"/>
    <w:rsid w:val="0080626A"/>
    <w:rsid w:val="008062DA"/>
    <w:rsid w:val="00807772"/>
    <w:rsid w:val="008079F1"/>
    <w:rsid w:val="00807A82"/>
    <w:rsid w:val="008110DA"/>
    <w:rsid w:val="008117E7"/>
    <w:rsid w:val="00811A61"/>
    <w:rsid w:val="00812852"/>
    <w:rsid w:val="008138B7"/>
    <w:rsid w:val="008138BF"/>
    <w:rsid w:val="00813EE9"/>
    <w:rsid w:val="008143B6"/>
    <w:rsid w:val="008143E4"/>
    <w:rsid w:val="008149EE"/>
    <w:rsid w:val="00814A04"/>
    <w:rsid w:val="00814E27"/>
    <w:rsid w:val="008155B6"/>
    <w:rsid w:val="008157CB"/>
    <w:rsid w:val="00815B1F"/>
    <w:rsid w:val="00815CE3"/>
    <w:rsid w:val="00816DD3"/>
    <w:rsid w:val="00816EB5"/>
    <w:rsid w:val="0081723D"/>
    <w:rsid w:val="00820D82"/>
    <w:rsid w:val="00821853"/>
    <w:rsid w:val="008222E4"/>
    <w:rsid w:val="00822A7C"/>
    <w:rsid w:val="008239D4"/>
    <w:rsid w:val="00823BB2"/>
    <w:rsid w:val="00823D07"/>
    <w:rsid w:val="00823FBD"/>
    <w:rsid w:val="008248F8"/>
    <w:rsid w:val="00824C13"/>
    <w:rsid w:val="00824DBB"/>
    <w:rsid w:val="0082514C"/>
    <w:rsid w:val="008253BA"/>
    <w:rsid w:val="008258EA"/>
    <w:rsid w:val="00825B9D"/>
    <w:rsid w:val="00825C7C"/>
    <w:rsid w:val="00826ECD"/>
    <w:rsid w:val="00827374"/>
    <w:rsid w:val="0082743B"/>
    <w:rsid w:val="00827602"/>
    <w:rsid w:val="00827B67"/>
    <w:rsid w:val="008309EC"/>
    <w:rsid w:val="008313C9"/>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5F7"/>
    <w:rsid w:val="0084364E"/>
    <w:rsid w:val="008436F0"/>
    <w:rsid w:val="00843C2A"/>
    <w:rsid w:val="00843F2B"/>
    <w:rsid w:val="008443BD"/>
    <w:rsid w:val="00844A03"/>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2D7"/>
    <w:rsid w:val="008633FD"/>
    <w:rsid w:val="00863540"/>
    <w:rsid w:val="00863893"/>
    <w:rsid w:val="00863EA2"/>
    <w:rsid w:val="00865512"/>
    <w:rsid w:val="00866903"/>
    <w:rsid w:val="00866915"/>
    <w:rsid w:val="00866D90"/>
    <w:rsid w:val="00866FC9"/>
    <w:rsid w:val="008671E6"/>
    <w:rsid w:val="0086738B"/>
    <w:rsid w:val="00867EA3"/>
    <w:rsid w:val="008708BC"/>
    <w:rsid w:val="00870B6A"/>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68"/>
    <w:rsid w:val="008A1C0C"/>
    <w:rsid w:val="008A24E9"/>
    <w:rsid w:val="008A27DC"/>
    <w:rsid w:val="008A3848"/>
    <w:rsid w:val="008A38D0"/>
    <w:rsid w:val="008A46C0"/>
    <w:rsid w:val="008A4E9F"/>
    <w:rsid w:val="008A4F55"/>
    <w:rsid w:val="008A50A5"/>
    <w:rsid w:val="008A53FC"/>
    <w:rsid w:val="008A665B"/>
    <w:rsid w:val="008A682F"/>
    <w:rsid w:val="008A78B9"/>
    <w:rsid w:val="008A7DBE"/>
    <w:rsid w:val="008B069C"/>
    <w:rsid w:val="008B099C"/>
    <w:rsid w:val="008B0EE6"/>
    <w:rsid w:val="008B1F5B"/>
    <w:rsid w:val="008B3864"/>
    <w:rsid w:val="008B3A21"/>
    <w:rsid w:val="008B468B"/>
    <w:rsid w:val="008B52A8"/>
    <w:rsid w:val="008B54D8"/>
    <w:rsid w:val="008B579C"/>
    <w:rsid w:val="008B5F2B"/>
    <w:rsid w:val="008B631D"/>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183"/>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375"/>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CAE"/>
    <w:rsid w:val="009160C0"/>
    <w:rsid w:val="00916340"/>
    <w:rsid w:val="00916A98"/>
    <w:rsid w:val="00917385"/>
    <w:rsid w:val="00920CAB"/>
    <w:rsid w:val="009212D0"/>
    <w:rsid w:val="009212EC"/>
    <w:rsid w:val="00921977"/>
    <w:rsid w:val="00923700"/>
    <w:rsid w:val="0092398C"/>
    <w:rsid w:val="00923BC1"/>
    <w:rsid w:val="00924515"/>
    <w:rsid w:val="00924B7E"/>
    <w:rsid w:val="0092529D"/>
    <w:rsid w:val="009255E6"/>
    <w:rsid w:val="009276B3"/>
    <w:rsid w:val="00927894"/>
    <w:rsid w:val="00930120"/>
    <w:rsid w:val="00931B7C"/>
    <w:rsid w:val="00933182"/>
    <w:rsid w:val="00933AE9"/>
    <w:rsid w:val="00933AFF"/>
    <w:rsid w:val="0093491F"/>
    <w:rsid w:val="00934E5A"/>
    <w:rsid w:val="0093503F"/>
    <w:rsid w:val="009354B0"/>
    <w:rsid w:val="00935A94"/>
    <w:rsid w:val="00935C20"/>
    <w:rsid w:val="00935F4E"/>
    <w:rsid w:val="0093685B"/>
    <w:rsid w:val="00937137"/>
    <w:rsid w:val="00937551"/>
    <w:rsid w:val="00937F6E"/>
    <w:rsid w:val="009403FE"/>
    <w:rsid w:val="009409FB"/>
    <w:rsid w:val="00940C35"/>
    <w:rsid w:val="00940F1E"/>
    <w:rsid w:val="0094108E"/>
    <w:rsid w:val="00942BBA"/>
    <w:rsid w:val="00944FA2"/>
    <w:rsid w:val="00945CCE"/>
    <w:rsid w:val="00945F8D"/>
    <w:rsid w:val="00946849"/>
    <w:rsid w:val="00947045"/>
    <w:rsid w:val="00947EB5"/>
    <w:rsid w:val="00950BCB"/>
    <w:rsid w:val="00950C35"/>
    <w:rsid w:val="00951D0F"/>
    <w:rsid w:val="00951E51"/>
    <w:rsid w:val="009526C5"/>
    <w:rsid w:val="00952B46"/>
    <w:rsid w:val="00953472"/>
    <w:rsid w:val="009544D7"/>
    <w:rsid w:val="009553AC"/>
    <w:rsid w:val="00955D5E"/>
    <w:rsid w:val="00955DC0"/>
    <w:rsid w:val="00957290"/>
    <w:rsid w:val="00957830"/>
    <w:rsid w:val="00957B81"/>
    <w:rsid w:val="00957E3F"/>
    <w:rsid w:val="00957E66"/>
    <w:rsid w:val="00960102"/>
    <w:rsid w:val="009601ED"/>
    <w:rsid w:val="00960964"/>
    <w:rsid w:val="00960FFB"/>
    <w:rsid w:val="00961F12"/>
    <w:rsid w:val="009622D7"/>
    <w:rsid w:val="009624EA"/>
    <w:rsid w:val="0096278C"/>
    <w:rsid w:val="00962E4F"/>
    <w:rsid w:val="0096312A"/>
    <w:rsid w:val="009633EC"/>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438"/>
    <w:rsid w:val="009A2D55"/>
    <w:rsid w:val="009A2FAC"/>
    <w:rsid w:val="009A3445"/>
    <w:rsid w:val="009A3674"/>
    <w:rsid w:val="009A3CEE"/>
    <w:rsid w:val="009A5636"/>
    <w:rsid w:val="009A586B"/>
    <w:rsid w:val="009A59DC"/>
    <w:rsid w:val="009A5C5B"/>
    <w:rsid w:val="009A7288"/>
    <w:rsid w:val="009A7963"/>
    <w:rsid w:val="009B03FF"/>
    <w:rsid w:val="009B04A5"/>
    <w:rsid w:val="009B09D6"/>
    <w:rsid w:val="009B0F6A"/>
    <w:rsid w:val="009B1657"/>
    <w:rsid w:val="009B25A0"/>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0D95"/>
    <w:rsid w:val="009C114A"/>
    <w:rsid w:val="009C211E"/>
    <w:rsid w:val="009C290F"/>
    <w:rsid w:val="009C2915"/>
    <w:rsid w:val="009C3533"/>
    <w:rsid w:val="009C378B"/>
    <w:rsid w:val="009C4082"/>
    <w:rsid w:val="009C5FA7"/>
    <w:rsid w:val="009C6611"/>
    <w:rsid w:val="009C66C4"/>
    <w:rsid w:val="009C71E1"/>
    <w:rsid w:val="009C7A2B"/>
    <w:rsid w:val="009D005C"/>
    <w:rsid w:val="009D0685"/>
    <w:rsid w:val="009D11CB"/>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3F2C"/>
    <w:rsid w:val="009E4088"/>
    <w:rsid w:val="009E5F59"/>
    <w:rsid w:val="009E628C"/>
    <w:rsid w:val="009E6778"/>
    <w:rsid w:val="009F0E2A"/>
    <w:rsid w:val="009F11D1"/>
    <w:rsid w:val="009F1563"/>
    <w:rsid w:val="009F2CFC"/>
    <w:rsid w:val="009F3252"/>
    <w:rsid w:val="009F4713"/>
    <w:rsid w:val="009F4931"/>
    <w:rsid w:val="009F4EAC"/>
    <w:rsid w:val="009F5CA9"/>
    <w:rsid w:val="009F5F46"/>
    <w:rsid w:val="009F6164"/>
    <w:rsid w:val="009F6FFC"/>
    <w:rsid w:val="009F7866"/>
    <w:rsid w:val="009F7FEF"/>
    <w:rsid w:val="00A01109"/>
    <w:rsid w:val="00A01584"/>
    <w:rsid w:val="00A0190B"/>
    <w:rsid w:val="00A01EDD"/>
    <w:rsid w:val="00A02C3F"/>
    <w:rsid w:val="00A03032"/>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254"/>
    <w:rsid w:val="00A14265"/>
    <w:rsid w:val="00A14926"/>
    <w:rsid w:val="00A14B7F"/>
    <w:rsid w:val="00A153B6"/>
    <w:rsid w:val="00A156CF"/>
    <w:rsid w:val="00A15E9D"/>
    <w:rsid w:val="00A15F4C"/>
    <w:rsid w:val="00A1604D"/>
    <w:rsid w:val="00A177E8"/>
    <w:rsid w:val="00A17DF6"/>
    <w:rsid w:val="00A20516"/>
    <w:rsid w:val="00A20CAF"/>
    <w:rsid w:val="00A211DB"/>
    <w:rsid w:val="00A2266B"/>
    <w:rsid w:val="00A22689"/>
    <w:rsid w:val="00A227BF"/>
    <w:rsid w:val="00A2362E"/>
    <w:rsid w:val="00A243A4"/>
    <w:rsid w:val="00A25E14"/>
    <w:rsid w:val="00A260F4"/>
    <w:rsid w:val="00A275FC"/>
    <w:rsid w:val="00A27712"/>
    <w:rsid w:val="00A30340"/>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A73"/>
    <w:rsid w:val="00A40E43"/>
    <w:rsid w:val="00A40FD9"/>
    <w:rsid w:val="00A411A5"/>
    <w:rsid w:val="00A41291"/>
    <w:rsid w:val="00A43B77"/>
    <w:rsid w:val="00A4462F"/>
    <w:rsid w:val="00A456A1"/>
    <w:rsid w:val="00A46A5F"/>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269"/>
    <w:rsid w:val="00A71438"/>
    <w:rsid w:val="00A71D07"/>
    <w:rsid w:val="00A74CEA"/>
    <w:rsid w:val="00A76268"/>
    <w:rsid w:val="00A762A9"/>
    <w:rsid w:val="00A76BFB"/>
    <w:rsid w:val="00A76E5F"/>
    <w:rsid w:val="00A771F7"/>
    <w:rsid w:val="00A779C6"/>
    <w:rsid w:val="00A80EC9"/>
    <w:rsid w:val="00A812BF"/>
    <w:rsid w:val="00A818FD"/>
    <w:rsid w:val="00A81C97"/>
    <w:rsid w:val="00A82A80"/>
    <w:rsid w:val="00A82AAD"/>
    <w:rsid w:val="00A82D89"/>
    <w:rsid w:val="00A82FD6"/>
    <w:rsid w:val="00A8301C"/>
    <w:rsid w:val="00A8350F"/>
    <w:rsid w:val="00A84435"/>
    <w:rsid w:val="00A85318"/>
    <w:rsid w:val="00A855DB"/>
    <w:rsid w:val="00A85A06"/>
    <w:rsid w:val="00A85BD7"/>
    <w:rsid w:val="00A86F6E"/>
    <w:rsid w:val="00A87108"/>
    <w:rsid w:val="00A878EC"/>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AD6"/>
    <w:rsid w:val="00AA510F"/>
    <w:rsid w:val="00AA5535"/>
    <w:rsid w:val="00AA64E6"/>
    <w:rsid w:val="00AA657A"/>
    <w:rsid w:val="00AA6FC4"/>
    <w:rsid w:val="00AA7F13"/>
    <w:rsid w:val="00AB0D58"/>
    <w:rsid w:val="00AB1140"/>
    <w:rsid w:val="00AB1618"/>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8A2"/>
    <w:rsid w:val="00AB79BE"/>
    <w:rsid w:val="00AC0911"/>
    <w:rsid w:val="00AC1B1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456"/>
    <w:rsid w:val="00AF103F"/>
    <w:rsid w:val="00AF26BC"/>
    <w:rsid w:val="00AF2818"/>
    <w:rsid w:val="00AF2F41"/>
    <w:rsid w:val="00AF473D"/>
    <w:rsid w:val="00AF514C"/>
    <w:rsid w:val="00AF514D"/>
    <w:rsid w:val="00AF56AE"/>
    <w:rsid w:val="00AF572D"/>
    <w:rsid w:val="00AF646D"/>
    <w:rsid w:val="00AF68E5"/>
    <w:rsid w:val="00AF6CD9"/>
    <w:rsid w:val="00AF711A"/>
    <w:rsid w:val="00AF765F"/>
    <w:rsid w:val="00AF7DC1"/>
    <w:rsid w:val="00B013DC"/>
    <w:rsid w:val="00B02258"/>
    <w:rsid w:val="00B02648"/>
    <w:rsid w:val="00B03C68"/>
    <w:rsid w:val="00B04B32"/>
    <w:rsid w:val="00B04F87"/>
    <w:rsid w:val="00B0554E"/>
    <w:rsid w:val="00B056C4"/>
    <w:rsid w:val="00B05EA8"/>
    <w:rsid w:val="00B06A6B"/>
    <w:rsid w:val="00B1016D"/>
    <w:rsid w:val="00B11D8D"/>
    <w:rsid w:val="00B11F5E"/>
    <w:rsid w:val="00B1259D"/>
    <w:rsid w:val="00B12B8D"/>
    <w:rsid w:val="00B13FBD"/>
    <w:rsid w:val="00B145B6"/>
    <w:rsid w:val="00B14B09"/>
    <w:rsid w:val="00B14E65"/>
    <w:rsid w:val="00B153D0"/>
    <w:rsid w:val="00B15450"/>
    <w:rsid w:val="00B15DE2"/>
    <w:rsid w:val="00B15E3C"/>
    <w:rsid w:val="00B17B43"/>
    <w:rsid w:val="00B20B46"/>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3B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CC7"/>
    <w:rsid w:val="00B55E3B"/>
    <w:rsid w:val="00B5693D"/>
    <w:rsid w:val="00B575C0"/>
    <w:rsid w:val="00B60101"/>
    <w:rsid w:val="00B60A3D"/>
    <w:rsid w:val="00B60F46"/>
    <w:rsid w:val="00B612CF"/>
    <w:rsid w:val="00B62248"/>
    <w:rsid w:val="00B62DAB"/>
    <w:rsid w:val="00B631D0"/>
    <w:rsid w:val="00B64096"/>
    <w:rsid w:val="00B64B47"/>
    <w:rsid w:val="00B65338"/>
    <w:rsid w:val="00B66A7D"/>
    <w:rsid w:val="00B6765E"/>
    <w:rsid w:val="00B67DB4"/>
    <w:rsid w:val="00B67F8E"/>
    <w:rsid w:val="00B70B31"/>
    <w:rsid w:val="00B70F0A"/>
    <w:rsid w:val="00B70F23"/>
    <w:rsid w:val="00B71902"/>
    <w:rsid w:val="00B72163"/>
    <w:rsid w:val="00B72E34"/>
    <w:rsid w:val="00B73662"/>
    <w:rsid w:val="00B73A4D"/>
    <w:rsid w:val="00B74A57"/>
    <w:rsid w:val="00B75DDE"/>
    <w:rsid w:val="00B775F0"/>
    <w:rsid w:val="00B776FC"/>
    <w:rsid w:val="00B7784C"/>
    <w:rsid w:val="00B77C7D"/>
    <w:rsid w:val="00B80136"/>
    <w:rsid w:val="00B80407"/>
    <w:rsid w:val="00B80E17"/>
    <w:rsid w:val="00B81220"/>
    <w:rsid w:val="00B813C3"/>
    <w:rsid w:val="00B82834"/>
    <w:rsid w:val="00B82923"/>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8B9"/>
    <w:rsid w:val="00B93ACE"/>
    <w:rsid w:val="00B93B42"/>
    <w:rsid w:val="00B94202"/>
    <w:rsid w:val="00B942F3"/>
    <w:rsid w:val="00B9476C"/>
    <w:rsid w:val="00B94E6E"/>
    <w:rsid w:val="00B95030"/>
    <w:rsid w:val="00B9521E"/>
    <w:rsid w:val="00B96394"/>
    <w:rsid w:val="00B96FD7"/>
    <w:rsid w:val="00B971DE"/>
    <w:rsid w:val="00B9731A"/>
    <w:rsid w:val="00BA0380"/>
    <w:rsid w:val="00BA03EF"/>
    <w:rsid w:val="00BA0644"/>
    <w:rsid w:val="00BA116F"/>
    <w:rsid w:val="00BA1264"/>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3F5B"/>
    <w:rsid w:val="00BC4277"/>
    <w:rsid w:val="00BC50D9"/>
    <w:rsid w:val="00BC55D5"/>
    <w:rsid w:val="00BC5C1C"/>
    <w:rsid w:val="00BC6853"/>
    <w:rsid w:val="00BC6B1A"/>
    <w:rsid w:val="00BD2142"/>
    <w:rsid w:val="00BD2371"/>
    <w:rsid w:val="00BD3B76"/>
    <w:rsid w:val="00BD581E"/>
    <w:rsid w:val="00BD5B22"/>
    <w:rsid w:val="00BD5B5F"/>
    <w:rsid w:val="00BD5ED2"/>
    <w:rsid w:val="00BD5FA4"/>
    <w:rsid w:val="00BD6032"/>
    <w:rsid w:val="00BD61AC"/>
    <w:rsid w:val="00BD6279"/>
    <w:rsid w:val="00BD78D6"/>
    <w:rsid w:val="00BD7E39"/>
    <w:rsid w:val="00BE0BC3"/>
    <w:rsid w:val="00BE24F1"/>
    <w:rsid w:val="00BE2512"/>
    <w:rsid w:val="00BE2C8B"/>
    <w:rsid w:val="00BE2DA4"/>
    <w:rsid w:val="00BE3C60"/>
    <w:rsid w:val="00BE428A"/>
    <w:rsid w:val="00BE4BA5"/>
    <w:rsid w:val="00BE4BDD"/>
    <w:rsid w:val="00BE4E1B"/>
    <w:rsid w:val="00BE5DF6"/>
    <w:rsid w:val="00BE62C8"/>
    <w:rsid w:val="00BE64AD"/>
    <w:rsid w:val="00BE6737"/>
    <w:rsid w:val="00BE738A"/>
    <w:rsid w:val="00BE7621"/>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458"/>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478"/>
    <w:rsid w:val="00C06C22"/>
    <w:rsid w:val="00C074D7"/>
    <w:rsid w:val="00C1019A"/>
    <w:rsid w:val="00C10EB2"/>
    <w:rsid w:val="00C124C5"/>
    <w:rsid w:val="00C1289D"/>
    <w:rsid w:val="00C12BBD"/>
    <w:rsid w:val="00C12E3A"/>
    <w:rsid w:val="00C1319E"/>
    <w:rsid w:val="00C136DA"/>
    <w:rsid w:val="00C14132"/>
    <w:rsid w:val="00C15ECB"/>
    <w:rsid w:val="00C16B5D"/>
    <w:rsid w:val="00C16C2B"/>
    <w:rsid w:val="00C17771"/>
    <w:rsid w:val="00C21995"/>
    <w:rsid w:val="00C21CB3"/>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2F55"/>
    <w:rsid w:val="00C431C5"/>
    <w:rsid w:val="00C43648"/>
    <w:rsid w:val="00C43AF1"/>
    <w:rsid w:val="00C43B13"/>
    <w:rsid w:val="00C43B95"/>
    <w:rsid w:val="00C441BC"/>
    <w:rsid w:val="00C45900"/>
    <w:rsid w:val="00C4612D"/>
    <w:rsid w:val="00C4677C"/>
    <w:rsid w:val="00C47228"/>
    <w:rsid w:val="00C47B3D"/>
    <w:rsid w:val="00C507ED"/>
    <w:rsid w:val="00C51E61"/>
    <w:rsid w:val="00C51ECE"/>
    <w:rsid w:val="00C521CE"/>
    <w:rsid w:val="00C5286F"/>
    <w:rsid w:val="00C538B8"/>
    <w:rsid w:val="00C54448"/>
    <w:rsid w:val="00C551B8"/>
    <w:rsid w:val="00C562A3"/>
    <w:rsid w:val="00C57053"/>
    <w:rsid w:val="00C5714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0B94"/>
    <w:rsid w:val="00C71CB4"/>
    <w:rsid w:val="00C721DD"/>
    <w:rsid w:val="00C72B24"/>
    <w:rsid w:val="00C73D48"/>
    <w:rsid w:val="00C77553"/>
    <w:rsid w:val="00C779D2"/>
    <w:rsid w:val="00C804DB"/>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95C"/>
    <w:rsid w:val="00C92D18"/>
    <w:rsid w:val="00C937EC"/>
    <w:rsid w:val="00C9383E"/>
    <w:rsid w:val="00C93EA4"/>
    <w:rsid w:val="00C94638"/>
    <w:rsid w:val="00C94C5A"/>
    <w:rsid w:val="00C95F69"/>
    <w:rsid w:val="00C96951"/>
    <w:rsid w:val="00C96E11"/>
    <w:rsid w:val="00C96FC4"/>
    <w:rsid w:val="00C973F9"/>
    <w:rsid w:val="00C97735"/>
    <w:rsid w:val="00CA117B"/>
    <w:rsid w:val="00CA1A99"/>
    <w:rsid w:val="00CA3062"/>
    <w:rsid w:val="00CA45C4"/>
    <w:rsid w:val="00CA4FED"/>
    <w:rsid w:val="00CA516E"/>
    <w:rsid w:val="00CA55AB"/>
    <w:rsid w:val="00CA5CD6"/>
    <w:rsid w:val="00CA6727"/>
    <w:rsid w:val="00CA75D9"/>
    <w:rsid w:val="00CA7991"/>
    <w:rsid w:val="00CA7C6A"/>
    <w:rsid w:val="00CB0715"/>
    <w:rsid w:val="00CB0A53"/>
    <w:rsid w:val="00CB0ACE"/>
    <w:rsid w:val="00CB1FBD"/>
    <w:rsid w:val="00CB24E5"/>
    <w:rsid w:val="00CB3688"/>
    <w:rsid w:val="00CB4720"/>
    <w:rsid w:val="00CB4BCC"/>
    <w:rsid w:val="00CB4CB0"/>
    <w:rsid w:val="00CB5DA3"/>
    <w:rsid w:val="00CB6045"/>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971"/>
    <w:rsid w:val="00CD5FD1"/>
    <w:rsid w:val="00CD610A"/>
    <w:rsid w:val="00CD6C96"/>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391"/>
    <w:rsid w:val="00CE7809"/>
    <w:rsid w:val="00CF1A01"/>
    <w:rsid w:val="00CF2D5C"/>
    <w:rsid w:val="00CF33EF"/>
    <w:rsid w:val="00CF399C"/>
    <w:rsid w:val="00CF412D"/>
    <w:rsid w:val="00CF4D05"/>
    <w:rsid w:val="00CF6E1D"/>
    <w:rsid w:val="00CF76CD"/>
    <w:rsid w:val="00CF792A"/>
    <w:rsid w:val="00CF7E80"/>
    <w:rsid w:val="00D00147"/>
    <w:rsid w:val="00D005F4"/>
    <w:rsid w:val="00D007B5"/>
    <w:rsid w:val="00D00B9A"/>
    <w:rsid w:val="00D00CFA"/>
    <w:rsid w:val="00D010BC"/>
    <w:rsid w:val="00D01C68"/>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2FB"/>
    <w:rsid w:val="00D278B0"/>
    <w:rsid w:val="00D33280"/>
    <w:rsid w:val="00D34532"/>
    <w:rsid w:val="00D3462D"/>
    <w:rsid w:val="00D34BE3"/>
    <w:rsid w:val="00D34C95"/>
    <w:rsid w:val="00D34EC4"/>
    <w:rsid w:val="00D35884"/>
    <w:rsid w:val="00D36382"/>
    <w:rsid w:val="00D36A5E"/>
    <w:rsid w:val="00D37412"/>
    <w:rsid w:val="00D414BC"/>
    <w:rsid w:val="00D446C9"/>
    <w:rsid w:val="00D46EDF"/>
    <w:rsid w:val="00D47A25"/>
    <w:rsid w:val="00D47AEB"/>
    <w:rsid w:val="00D515EE"/>
    <w:rsid w:val="00D525A1"/>
    <w:rsid w:val="00D52A7A"/>
    <w:rsid w:val="00D52F4E"/>
    <w:rsid w:val="00D5446B"/>
    <w:rsid w:val="00D55781"/>
    <w:rsid w:val="00D55B01"/>
    <w:rsid w:val="00D56B5E"/>
    <w:rsid w:val="00D57176"/>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62CA"/>
    <w:rsid w:val="00D7744F"/>
    <w:rsid w:val="00D80197"/>
    <w:rsid w:val="00D802D9"/>
    <w:rsid w:val="00D80D82"/>
    <w:rsid w:val="00D81A4E"/>
    <w:rsid w:val="00D8240C"/>
    <w:rsid w:val="00D835E2"/>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786"/>
    <w:rsid w:val="00DB59C4"/>
    <w:rsid w:val="00DB5B97"/>
    <w:rsid w:val="00DB75F0"/>
    <w:rsid w:val="00DB795E"/>
    <w:rsid w:val="00DB7B7A"/>
    <w:rsid w:val="00DC03B4"/>
    <w:rsid w:val="00DC121F"/>
    <w:rsid w:val="00DC21E1"/>
    <w:rsid w:val="00DC25BC"/>
    <w:rsid w:val="00DC3103"/>
    <w:rsid w:val="00DC35D9"/>
    <w:rsid w:val="00DC3CD8"/>
    <w:rsid w:val="00DC4104"/>
    <w:rsid w:val="00DC461E"/>
    <w:rsid w:val="00DC489C"/>
    <w:rsid w:val="00DC5505"/>
    <w:rsid w:val="00DC55EB"/>
    <w:rsid w:val="00DC5C1D"/>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29B"/>
    <w:rsid w:val="00DE03DA"/>
    <w:rsid w:val="00DE0559"/>
    <w:rsid w:val="00DE1687"/>
    <w:rsid w:val="00DE1786"/>
    <w:rsid w:val="00DE19EC"/>
    <w:rsid w:val="00DE1CD2"/>
    <w:rsid w:val="00DE1F23"/>
    <w:rsid w:val="00DE2410"/>
    <w:rsid w:val="00DE3346"/>
    <w:rsid w:val="00DE3426"/>
    <w:rsid w:val="00DE396A"/>
    <w:rsid w:val="00DE3BEF"/>
    <w:rsid w:val="00DE3DF9"/>
    <w:rsid w:val="00DE4656"/>
    <w:rsid w:val="00DE475A"/>
    <w:rsid w:val="00DE53FC"/>
    <w:rsid w:val="00DE5727"/>
    <w:rsid w:val="00DE5897"/>
    <w:rsid w:val="00DE590C"/>
    <w:rsid w:val="00DE5CAB"/>
    <w:rsid w:val="00DE7079"/>
    <w:rsid w:val="00DE71FD"/>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2A3"/>
    <w:rsid w:val="00E155EA"/>
    <w:rsid w:val="00E1566F"/>
    <w:rsid w:val="00E15FF2"/>
    <w:rsid w:val="00E1693D"/>
    <w:rsid w:val="00E17E6A"/>
    <w:rsid w:val="00E2016F"/>
    <w:rsid w:val="00E21CAF"/>
    <w:rsid w:val="00E22D4D"/>
    <w:rsid w:val="00E23086"/>
    <w:rsid w:val="00E23A95"/>
    <w:rsid w:val="00E2498A"/>
    <w:rsid w:val="00E253E1"/>
    <w:rsid w:val="00E256F1"/>
    <w:rsid w:val="00E25936"/>
    <w:rsid w:val="00E259F0"/>
    <w:rsid w:val="00E25F87"/>
    <w:rsid w:val="00E25FC3"/>
    <w:rsid w:val="00E2687F"/>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9D9"/>
    <w:rsid w:val="00E44BF7"/>
    <w:rsid w:val="00E45504"/>
    <w:rsid w:val="00E45ACB"/>
    <w:rsid w:val="00E45DFA"/>
    <w:rsid w:val="00E465D2"/>
    <w:rsid w:val="00E46BA8"/>
    <w:rsid w:val="00E46D80"/>
    <w:rsid w:val="00E47056"/>
    <w:rsid w:val="00E471FD"/>
    <w:rsid w:val="00E51347"/>
    <w:rsid w:val="00E5196B"/>
    <w:rsid w:val="00E525AA"/>
    <w:rsid w:val="00E53C9F"/>
    <w:rsid w:val="00E542F5"/>
    <w:rsid w:val="00E54346"/>
    <w:rsid w:val="00E547F7"/>
    <w:rsid w:val="00E54C27"/>
    <w:rsid w:val="00E5607F"/>
    <w:rsid w:val="00E56689"/>
    <w:rsid w:val="00E56B28"/>
    <w:rsid w:val="00E57311"/>
    <w:rsid w:val="00E573A0"/>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F19"/>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1C3"/>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A4C"/>
    <w:rsid w:val="00EC4CDB"/>
    <w:rsid w:val="00EC6C32"/>
    <w:rsid w:val="00EC70EB"/>
    <w:rsid w:val="00EC77DD"/>
    <w:rsid w:val="00ED0ABD"/>
    <w:rsid w:val="00ED0E64"/>
    <w:rsid w:val="00ED0F0E"/>
    <w:rsid w:val="00ED1001"/>
    <w:rsid w:val="00ED1B83"/>
    <w:rsid w:val="00ED20C8"/>
    <w:rsid w:val="00ED2E59"/>
    <w:rsid w:val="00ED315B"/>
    <w:rsid w:val="00ED328B"/>
    <w:rsid w:val="00ED3E0A"/>
    <w:rsid w:val="00ED48F5"/>
    <w:rsid w:val="00ED4A36"/>
    <w:rsid w:val="00ED6F08"/>
    <w:rsid w:val="00ED740F"/>
    <w:rsid w:val="00ED74BE"/>
    <w:rsid w:val="00EE0DCD"/>
    <w:rsid w:val="00EE1C29"/>
    <w:rsid w:val="00EE261B"/>
    <w:rsid w:val="00EE26F3"/>
    <w:rsid w:val="00EE3983"/>
    <w:rsid w:val="00EE4690"/>
    <w:rsid w:val="00EE4C2D"/>
    <w:rsid w:val="00EE4F07"/>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ECD"/>
    <w:rsid w:val="00EF3FF4"/>
    <w:rsid w:val="00EF4F11"/>
    <w:rsid w:val="00EF5BBE"/>
    <w:rsid w:val="00EF5EB5"/>
    <w:rsid w:val="00EF65A9"/>
    <w:rsid w:val="00F004AA"/>
    <w:rsid w:val="00F005F6"/>
    <w:rsid w:val="00F0163A"/>
    <w:rsid w:val="00F01C49"/>
    <w:rsid w:val="00F0233D"/>
    <w:rsid w:val="00F028F8"/>
    <w:rsid w:val="00F03012"/>
    <w:rsid w:val="00F03438"/>
    <w:rsid w:val="00F03784"/>
    <w:rsid w:val="00F04309"/>
    <w:rsid w:val="00F04E8C"/>
    <w:rsid w:val="00F0504F"/>
    <w:rsid w:val="00F06610"/>
    <w:rsid w:val="00F06D8F"/>
    <w:rsid w:val="00F11190"/>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3FA3"/>
    <w:rsid w:val="00F24CF8"/>
    <w:rsid w:val="00F24FBC"/>
    <w:rsid w:val="00F276F4"/>
    <w:rsid w:val="00F27B6B"/>
    <w:rsid w:val="00F3104E"/>
    <w:rsid w:val="00F31ECA"/>
    <w:rsid w:val="00F335A8"/>
    <w:rsid w:val="00F33A72"/>
    <w:rsid w:val="00F34055"/>
    <w:rsid w:val="00F3527C"/>
    <w:rsid w:val="00F358F9"/>
    <w:rsid w:val="00F3759B"/>
    <w:rsid w:val="00F40A40"/>
    <w:rsid w:val="00F40DCD"/>
    <w:rsid w:val="00F40F46"/>
    <w:rsid w:val="00F41A12"/>
    <w:rsid w:val="00F41A26"/>
    <w:rsid w:val="00F41D1A"/>
    <w:rsid w:val="00F42D78"/>
    <w:rsid w:val="00F42E7E"/>
    <w:rsid w:val="00F4340D"/>
    <w:rsid w:val="00F4408E"/>
    <w:rsid w:val="00F4428E"/>
    <w:rsid w:val="00F445B8"/>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1A6"/>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628"/>
    <w:rsid w:val="00F95CBC"/>
    <w:rsid w:val="00F97F75"/>
    <w:rsid w:val="00FA00EE"/>
    <w:rsid w:val="00FA050B"/>
    <w:rsid w:val="00FA07F8"/>
    <w:rsid w:val="00FA0C92"/>
    <w:rsid w:val="00FA2099"/>
    <w:rsid w:val="00FA2E80"/>
    <w:rsid w:val="00FA30F1"/>
    <w:rsid w:val="00FA351D"/>
    <w:rsid w:val="00FA378B"/>
    <w:rsid w:val="00FA3E25"/>
    <w:rsid w:val="00FA42B8"/>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A5D"/>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E67"/>
    <w:rsid w:val="00FD22C1"/>
    <w:rsid w:val="00FD2A9A"/>
    <w:rsid w:val="00FD2DA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5C2B"/>
    <w:rsid w:val="00FF6AFA"/>
    <w:rsid w:val="00FF6CD4"/>
    <w:rsid w:val="2A6F0759"/>
    <w:rsid w:val="43632C0C"/>
    <w:rsid w:val="4BE236A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87B79"/>
  <w15:chartTrackingRefBased/>
  <w15:docId w15:val="{F915DD65-F8C1-4D36-B927-CA190C7A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432"/>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1146"/>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432"/>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SimSun"/>
      <w:sz w:val="18"/>
      <w:szCs w:val="18"/>
    </w:rPr>
  </w:style>
  <w:style w:type="character" w:customStyle="1" w:styleId="DocumentMapChar">
    <w:name w:val="Document Map Char"/>
    <w:link w:val="DocumentMap"/>
    <w:uiPriority w:val="99"/>
    <w:semiHidden/>
    <w:rPr>
      <w:rFonts w:ascii="SimSun" w:hAnsi="Times New Roman"/>
      <w:sz w:val="18"/>
      <w:szCs w:val="18"/>
      <w:lang w:val="en-GB" w:eastAsia="en-US"/>
    </w:rPr>
  </w:style>
  <w:style w:type="paragraph" w:styleId="CommentText">
    <w:name w:val="annotation text"/>
    <w:basedOn w:val="Normal"/>
    <w:link w:val="CommentTextChar"/>
    <w:uiPriority w:val="99"/>
    <w:unhideWhenUsed/>
  </w:style>
  <w:style w:type="character" w:customStyle="1" w:styleId="CommentTextChar">
    <w:name w:val="Comment Text Char"/>
    <w:link w:val="CommentText"/>
    <w:uiPriority w:val="99"/>
    <w:semiHidden/>
    <w:rPr>
      <w:rFonts w:ascii="Times New Roman" w:hAnsi="Times New Roman"/>
      <w:lang w:val="en-GB" w:eastAsia="en-US"/>
    </w:rPr>
  </w:style>
  <w:style w:type="paragraph" w:styleId="Date">
    <w:name w:val="Date"/>
    <w:basedOn w:val="Normal"/>
    <w:next w:val="Normal"/>
    <w:link w:val="DateChar"/>
    <w:uiPriority w:val="99"/>
    <w:unhideWhenUsed/>
    <w:pPr>
      <w:ind w:leftChars="2500" w:left="100"/>
    </w:pPr>
  </w:style>
  <w:style w:type="character" w:customStyle="1" w:styleId="DateChar">
    <w:name w:val="Date Char"/>
    <w:link w:val="Date"/>
    <w:uiPriority w:val="99"/>
    <w:semiHidden/>
    <w:rPr>
      <w:rFonts w:ascii="Times New Roman" w:hAnsi="Times New Roman"/>
      <w:lang w:val="en-GB" w:eastAsia="en-US"/>
    </w:rPr>
  </w:style>
  <w:style w:type="paragraph" w:styleId="BalloonText">
    <w:name w:val="Balloon Text"/>
    <w:basedOn w:val="Normal"/>
    <w:link w:val="BalloonTextChar"/>
    <w:uiPriority w:val="99"/>
    <w:unhideWhenUsed/>
    <w:pPr>
      <w:spacing w:after="0"/>
    </w:pPr>
    <w:rPr>
      <w:sz w:val="18"/>
      <w:szCs w:val="18"/>
    </w:rPr>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character" w:customStyle="1" w:styleId="FooterChar">
    <w:name w:val="Footer Char"/>
    <w:link w:val="Footer"/>
    <w:uiPriority w:val="99"/>
    <w:rPr>
      <w:rFonts w:ascii="Times New Roman" w:hAnsi="Times New Roman"/>
      <w:sz w:val="18"/>
      <w:szCs w:val="18"/>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Pr>
      <w:rFonts w:ascii="Times New Roman" w:hAnsi="Times New Roman"/>
      <w:sz w:val="18"/>
      <w:szCs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link w:val="CommentSubject"/>
    <w:uiPriority w:val="99"/>
    <w:qFormat/>
    <w:rPr>
      <w:rFonts w:ascii="Times New Roman" w:hAnsi="Times New Roman"/>
      <w:b/>
      <w:bCs/>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Pr>
      <w:sz w:val="16"/>
      <w:szCs w:val="16"/>
    </w:r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texhtml">
    <w:name w:val="texhtml"/>
  </w:style>
  <w:style w:type="character" w:customStyle="1" w:styleId="apple-converted-space">
    <w:name w:val="apple-converted-space"/>
  </w:style>
  <w:style w:type="paragraph" w:styleId="Revision">
    <w:name w:val="Revision"/>
    <w:uiPriority w:val="99"/>
    <w:semiHidden/>
    <w:rPr>
      <w:rFonts w:ascii="Times New Roman" w:hAnsi="Times New Roman"/>
      <w:lang w:val="en-GB" w:eastAsia="en-US"/>
    </w:rPr>
  </w:style>
  <w:style w:type="paragraph" w:styleId="BodyText">
    <w:name w:val="Body Text"/>
    <w:aliases w:val="bt"/>
    <w:basedOn w:val="Normal"/>
    <w:link w:val="BodyTextChar"/>
    <w:rsid w:val="00504324"/>
    <w:pPr>
      <w:spacing w:after="0"/>
    </w:pPr>
    <w:rPr>
      <w:sz w:val="24"/>
      <w:szCs w:val="24"/>
      <w:lang w:val="en-US"/>
    </w:rPr>
  </w:style>
  <w:style w:type="character" w:customStyle="1" w:styleId="BodyTextChar">
    <w:name w:val="Body Text Char"/>
    <w:aliases w:val="bt Char"/>
    <w:link w:val="BodyText"/>
    <w:rsid w:val="00504324"/>
    <w:rPr>
      <w:rFonts w:ascii="Times New Roman" w:hAnsi="Times New Roman"/>
      <w:sz w:val="24"/>
      <w:szCs w:val="24"/>
      <w:lang w:val="en-US" w:eastAsia="en-US"/>
    </w:rPr>
  </w:style>
  <w:style w:type="paragraph" w:customStyle="1" w:styleId="CRCoverPage">
    <w:name w:val="CR Cover Page"/>
    <w:rsid w:val="00FA07F8"/>
    <w:pPr>
      <w:spacing w:after="120"/>
    </w:pPr>
    <w:rPr>
      <w:rFonts w:ascii="Arial" w:eastAsia="Times New Roman" w:hAnsi="Arial"/>
      <w:lang w:val="en-GB" w:eastAsia="en-US"/>
    </w:rPr>
  </w:style>
  <w:style w:type="character" w:styleId="Hyperlink">
    <w:name w:val="Hyperlink"/>
    <w:uiPriority w:val="99"/>
    <w:semiHidden/>
    <w:unhideWhenUsed/>
    <w:rsid w:val="00A762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6275">
      <w:bodyDiv w:val="1"/>
      <w:marLeft w:val="0"/>
      <w:marRight w:val="0"/>
      <w:marTop w:val="0"/>
      <w:marBottom w:val="0"/>
      <w:divBdr>
        <w:top w:val="none" w:sz="0" w:space="0" w:color="auto"/>
        <w:left w:val="none" w:sz="0" w:space="0" w:color="auto"/>
        <w:bottom w:val="none" w:sz="0" w:space="0" w:color="auto"/>
        <w:right w:val="none" w:sz="0" w:space="0" w:color="auto"/>
      </w:divBdr>
      <w:divsChild>
        <w:div w:id="1797795877">
          <w:marLeft w:val="446"/>
          <w:marRight w:val="0"/>
          <w:marTop w:val="0"/>
          <w:marBottom w:val="0"/>
          <w:divBdr>
            <w:top w:val="none" w:sz="0" w:space="0" w:color="auto"/>
            <w:left w:val="none" w:sz="0" w:space="0" w:color="auto"/>
            <w:bottom w:val="none" w:sz="0" w:space="0" w:color="auto"/>
            <w:right w:val="none" w:sz="0" w:space="0" w:color="auto"/>
          </w:divBdr>
        </w:div>
        <w:div w:id="1238049431">
          <w:marLeft w:val="446"/>
          <w:marRight w:val="0"/>
          <w:marTop w:val="0"/>
          <w:marBottom w:val="0"/>
          <w:divBdr>
            <w:top w:val="none" w:sz="0" w:space="0" w:color="auto"/>
            <w:left w:val="none" w:sz="0" w:space="0" w:color="auto"/>
            <w:bottom w:val="none" w:sz="0" w:space="0" w:color="auto"/>
            <w:right w:val="none" w:sz="0" w:space="0" w:color="auto"/>
          </w:divBdr>
        </w:div>
      </w:divsChild>
    </w:div>
    <w:div w:id="392002814">
      <w:bodyDiv w:val="1"/>
      <w:marLeft w:val="0"/>
      <w:marRight w:val="0"/>
      <w:marTop w:val="0"/>
      <w:marBottom w:val="0"/>
      <w:divBdr>
        <w:top w:val="none" w:sz="0" w:space="0" w:color="auto"/>
        <w:left w:val="none" w:sz="0" w:space="0" w:color="auto"/>
        <w:bottom w:val="none" w:sz="0" w:space="0" w:color="auto"/>
        <w:right w:val="none" w:sz="0" w:space="0" w:color="auto"/>
      </w:divBdr>
    </w:div>
    <w:div w:id="1713774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etsi.org/webapp/WorkProgram/Report_WorkItem.asp?WKI_ID=54728" TargetMode="External"/><Relationship Id="rId5" Type="http://schemas.openxmlformats.org/officeDocument/2006/relationships/hyperlink" Target="https://portal.etsi.org/webapp/WorkProgram/Report_WorkItem.asp?WKI_ID=5099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3</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Aurelian Bria</cp:lastModifiedBy>
  <cp:revision>150</cp:revision>
  <dcterms:created xsi:type="dcterms:W3CDTF">2023-08-11T11:29:00Z</dcterms:created>
  <dcterms:modified xsi:type="dcterms:W3CDTF">2023-08-11T18:55:00Z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(3)6fDS+C4jEe0+ph/uOWF8pwflAFjWuaSqBCz45eh5YiBgYtUG6Nh+q0063XiObc8tWlIoiNwZ_x000d_
3nwZ3s+A+K744yJpukQtWu8+Gp5TOlDEqZihPw/PXfnipn/CgA8MuHniY0HGJvtCyLCfsyFK_x000d_
yyS5fDRiqnBWYGU9ZVtE/8qRsd+PcLMnxdRjVr0SAJ/z1/b844jjZ1hT/s/9VsVfQgW1nqzY_x000d_
f4EX7nQXuiZVQRnsk+</vt:lpwstr>
  </property>
  <property fmtid="{D5CDD505-2E9C-101B-9397-08002B2CF9AE}" pid="9" name="_2015_ms_pID_725343_00">
    <vt:lpwstr>_2015_ms_pID_725343</vt:lpwstr>
  </property>
  <property fmtid="{D5CDD505-2E9C-101B-9397-08002B2CF9AE}" pid="10" name="_2015_ms_pID_7253431">
    <vt:lpwstr>enZE4RfrPmGO1ZYszDe2v1EIJWAG+xKf2N8iTs+W3hOq1v35+g/Ciq_x000d_
DzxSIJcNzUbPZd668LGkaj7hnQRqQMEbLblrzAP8WBeHmj45LUUH48v4a9mjetK1HlY3F3nL_x000d_
0JeZ9BCFfQaFy2Su84ojNPrmzZqzHMexGjuQkCmh6/FG6cP91LexuEFZM4gASY0+Okn5UDme_x000d_
rw2jgbeKs7dgESgl+WQl8Z4tXAXluxWChoMp</vt:lpwstr>
  </property>
  <property fmtid="{D5CDD505-2E9C-101B-9397-08002B2CF9AE}" pid="11" name="_2015_ms_pID_7253431_00">
    <vt:lpwstr>_2015_ms_pID_7253431</vt:lpwstr>
  </property>
  <property fmtid="{D5CDD505-2E9C-101B-9397-08002B2CF9AE}" pid="12" name="_2015_ms_pID_7253432">
    <vt:lpwstr>3cBwriwlD38KDX5SfIm5sH8=</vt:lpwstr>
  </property>
  <property fmtid="{D5CDD505-2E9C-101B-9397-08002B2CF9AE}" pid="13" name="KSOProductBuildVer">
    <vt:lpwstr>2052-11.8.2.10393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1684968958</vt:lpwstr>
  </property>
</Properties>
</file>